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Checklist de Definition of Ready (DoR)</w:t>
      </w:r>
    </w:p>
    <w:p>
      <w:pPr>
        <w:spacing w:after="120"/>
      </w:pPr>
      <w:r>
        <w:rPr>
          <w:b/>
          <w:bCs/>
          <w:color w:val="000000"/>
          <w:sz w:val="24"/>
          <w:szCs w:val="24"/>
        </w:rPr>
        <w:t xml:space="preserve">Modelo reutilizável para todas as sprints — Sprint 1 cumprida em 28/09/2026</w:t>
      </w:r>
    </w:p>
    <w:p>
      <w:pPr>
        <w:spacing w:after="80"/>
      </w:pP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</w:rPr>
        <w:t xml:space="preserve">Baseado no Anexo III do Guia de Avaliação API 2025-2. Preencher para cada item de trabalho antes de iniciar a execução. As marcações abaixo refletem o cumprimento na Sprint 1; para a Sprint 2, desmarcar e reavaliar item a item na Sprint Planning.</w:t>
      </w:r>
    </w:p>
    <w:p>
      <w:pPr>
        <w:pStyle w:val="Heading2"/>
      </w:pPr>
      <w:r>
        <w:t xml:space="preserve">Sobre a User Story / tarefa</w:t>
      </w:r>
    </w:p>
    <w:p>
      <w:pPr>
        <w:spacing w:after="60"/>
      </w:pPr>
      <w:r>
        <w:rPr>
          <w:color w:val="000000"/>
        </w:rPr>
        <w:t xml:space="preserve">☑ Tem título claro, descrição bem definida e objetivo compreendido</w:t>
      </w:r>
    </w:p>
    <w:p>
      <w:pPr>
        <w:spacing w:after="60"/>
      </w:pPr>
      <w:r>
        <w:rPr>
          <w:color w:val="000000"/>
        </w:rPr>
        <w:t xml:space="preserve">☑ Tem critérios de aceitação escritos</w:t>
      </w:r>
    </w:p>
    <w:p>
      <w:pPr>
        <w:spacing w:after="60"/>
      </w:pPr>
      <w:r>
        <w:rPr>
          <w:color w:val="000000"/>
        </w:rPr>
        <w:t xml:space="preserve">☑ Tem regras de negócio claras</w:t>
      </w:r>
    </w:p>
    <w:p>
      <w:pPr>
        <w:spacing w:after="60"/>
      </w:pPr>
      <w:r>
        <w:rPr>
          <w:color w:val="000000"/>
        </w:rPr>
        <w:t xml:space="preserve">☑ Foi estimada pela equipe</w:t>
      </w:r>
    </w:p>
    <w:p>
      <w:pPr>
        <w:spacing w:after="60"/>
      </w:pPr>
      <w:r>
        <w:rPr>
          <w:color w:val="000000"/>
        </w:rPr>
        <w:t xml:space="preserve">☑ Sem dependências bloqueadoras</w:t>
      </w:r>
    </w:p>
    <w:p>
      <w:pPr>
        <w:spacing w:after="60"/>
      </w:pPr>
      <w:r>
        <w:rPr>
          <w:color w:val="000000"/>
        </w:rPr>
        <w:t xml:space="preserve">☑ Compreensão validada com o time</w:t>
      </w:r>
    </w:p>
    <w:p>
      <w:pPr>
        <w:pStyle w:val="Heading2"/>
      </w:pPr>
      <w:r>
        <w:t xml:space="preserve">Sobre artefatos correlatos</w:t>
      </w:r>
    </w:p>
    <w:p>
      <w:pPr>
        <w:spacing w:after="60"/>
      </w:pPr>
      <w:r>
        <w:rPr>
          <w:color w:val="000000"/>
        </w:rPr>
        <w:t xml:space="preserve">☑ Design/documentação disponível</w:t>
      </w:r>
    </w:p>
    <w:p>
      <w:pPr>
        <w:spacing w:after="60"/>
      </w:pPr>
      <w:r>
        <w:rPr>
          <w:color w:val="000000"/>
        </w:rPr>
        <w:t xml:space="preserve">☑ Regras de negócio detalhadas (texto ou diagrama)</w:t>
      </w:r>
    </w:p>
    <w:p>
      <w:pPr>
        <w:spacing w:after="60"/>
      </w:pPr>
      <w:r>
        <w:rPr>
          <w:color w:val="000000"/>
        </w:rPr>
        <w:t xml:space="preserve">☑ Modelo de dados disponível</w:t>
      </w:r>
    </w:p>
    <w:p>
      <w:pPr>
        <w:spacing w:after="60"/>
      </w:pPr>
      <w:r>
        <w:rPr>
          <w:color w:val="000000"/>
        </w:rPr>
        <w:t xml:space="preserve">☑ Estratégia de testes definida</w:t>
      </w:r>
    </w:p>
    <w:p>
      <w:pPr>
        <w:pStyle w:val="Heading2"/>
      </w:pPr>
      <w:r>
        <w:t xml:space="preserve">Itens específicos da Sprint 1 (cumpridos)</w:t>
      </w:r>
    </w:p>
    <w:p>
      <w:pPr>
        <w:spacing w:after="60"/>
      </w:pPr>
      <w:r>
        <w:rPr>
          <w:color w:val="000000"/>
        </w:rPr>
        <w:t xml:space="preserve">☑ Fonte de dados da RAIS identificada e acessível (RAIS_ESTAB_PUB)</w:t>
      </w:r>
    </w:p>
    <w:p>
      <w:pPr>
        <w:spacing w:after="60"/>
      </w:pPr>
      <w:r>
        <w:rPr>
          <w:color w:val="000000"/>
        </w:rPr>
        <w:t xml:space="preserve">☑ Código do município de São José dos Campos confirmado (354990)</w:t>
      </w:r>
    </w:p>
    <w:p>
      <w:pPr>
        <w:spacing w:after="60"/>
      </w:pPr>
      <w:r>
        <w:rPr>
          <w:color w:val="000000"/>
        </w:rPr>
        <w:t xml:space="preserve">☑ Ambiente do Google Colab configurado com as bibliotecas necessárias (pandas, csv)</w:t>
      </w:r>
    </w:p>
    <w:p>
      <w:pPr>
        <w:spacing w:after="60"/>
      </w:pPr>
      <w:r>
        <w:rPr>
          <w:color w:val="000000"/>
        </w:rPr>
        <w:t xml:space="preserve">☑ Acesso ao Power BI Desktop/Service configurado para todos os membros</w:t>
      </w:r>
    </w:p>
    <w:p>
      <w:pPr>
        <w:pStyle w:val="Heading2"/>
      </w:pPr>
      <w:r>
        <w:t xml:space="preserve">Itens a confirmar para a Sprint 2</w:t>
      </w:r>
    </w:p>
    <w:p>
      <w:pPr>
        <w:spacing w:after="60"/>
      </w:pPr>
      <w:r>
        <w:rPr>
          <w:color w:val="000000"/>
        </w:rPr>
        <w:t xml:space="preserve">☐ Campo de CEP validado como suficiente para geocodificação (&gt;90% de acerto esperado)</w:t>
      </w:r>
    </w:p>
    <w:p>
      <w:pPr>
        <w:spacing w:after="60"/>
      </w:pPr>
      <w:r>
        <w:rPr>
          <w:color w:val="000000"/>
        </w:rPr>
        <w:t xml:space="preserve">☐ Série do PIB dos Municípios (IBGE 2022–2023) filtrada para São José dos Campos e explorada</w:t>
      </w:r>
    </w:p>
    <w:p>
      <w:pPr>
        <w:spacing w:after="60"/>
      </w:pPr>
      <w:r>
        <w:rPr>
          <w:color w:val="000000"/>
        </w:rPr>
        <w:t xml:space="preserve">☐ Confirmar se a edição 2022–2023 do PIB dos Municípios traz a abertura por setor de atividade (necessária para a US09)</w:t>
      </w:r>
    </w:p>
    <w:p>
      <w:pPr>
        <w:spacing w:after="60"/>
      </w:pPr>
      <w:r>
        <w:rPr>
          <w:color w:val="000000"/>
        </w:rPr>
        <w:t xml:space="preserve">☐ Acesso de todos os membros ao arquivo Power BI compartilhado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Observatório do Ecossistema Industrial e de Serviços de São José dos Campos —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4"/>
      </w:pBdr>
      <w:spacing w:after="160" w:before="32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i w:val="false"/>
      <w:iCs w:val="false"/>
      <w:color w:val="00000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2026-09-22T11:21:12.467Z</dcterms:created>
  <dcterms:modified xsi:type="dcterms:W3CDTF">2026-09-22T11:21:12.467Z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