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CCAA03" w14:textId="30B5E70B" w:rsidR="00044CAC" w:rsidRDefault="00A20A4C" w:rsidP="00157054">
      <w:pPr>
        <w:pStyle w:val="Ttulo"/>
      </w:pPr>
      <w:r>
        <w:t>Log de Decisões de Dados</w:t>
      </w:r>
    </w:p>
    <w:p w14:paraId="23A2E845" w14:textId="77777777" w:rsidR="00044CAC" w:rsidRDefault="00A20A4C">
      <w:pPr>
        <w:pStyle w:val="Ttulo2"/>
      </w:pPr>
      <w:r>
        <w:t>1. Contexto</w:t>
      </w:r>
    </w:p>
    <w:p w14:paraId="3BB554DE" w14:textId="77777777" w:rsidR="00044CAC" w:rsidRDefault="00A20A4C">
      <w:pPr>
        <w:spacing w:after="160"/>
      </w:pPr>
      <w:r>
        <w:t>Durante a exploração dos dados brutos da RAIS filtrados para São José dos Campos, foram identificados problemas estruturais que exigiam uma decisão explícita antes de seguir com a modelagem. Este documento registra o problema, a decisão adotada, a justificativa e o impacto de cada um, atendendo ao critério de aceite da User Story US03 (“tratar as inconsistências dos dados da RAIS”). Técnica inspirada em ADR (Architecture Decision Record), adaptada para decisões sobre tratamento de dados: toda nova decisão ganha uma entrada DEC-00X nova; não se edita o histórico de uma decisão já tomada — se a decisão mudar, registra-se uma nova entrada referenciando a anterior.</w:t>
      </w:r>
    </w:p>
    <w:p w14:paraId="3FD145EB" w14:textId="77777777" w:rsidR="00044CAC" w:rsidRDefault="00A20A4C">
      <w:pPr>
        <w:pStyle w:val="Ttulo2"/>
      </w:pPr>
      <w:r>
        <w:t>2. Decisões</w:t>
      </w:r>
    </w:p>
    <w:p w14:paraId="5A742308" w14:textId="77777777" w:rsidR="00044CAC" w:rsidRDefault="00A20A4C">
      <w:pPr>
        <w:pStyle w:val="Ttulo3"/>
      </w:pPr>
      <w:r>
        <w:t>DEC-001 — Estabelecimentos com vínculos ativos zerados (RAIS negativa)</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600"/>
      </w:tblGrid>
      <w:tr w:rsidR="00044CAC" w14:paraId="33F588E3" w14:textId="77777777">
        <w:trPr>
          <w:tblHeader/>
        </w:trPr>
        <w:tc>
          <w:tcPr>
            <w:tcW w:w="2600" w:type="dxa"/>
            <w:tcBorders>
              <w:top w:val="none" w:sz="0" w:space="0" w:color="FFFFFF"/>
              <w:left w:val="none" w:sz="0" w:space="0" w:color="FFFFFF"/>
              <w:bottom w:val="single" w:sz="12" w:space="0" w:color="000000"/>
              <w:right w:val="none" w:sz="0" w:space="0" w:color="FFFFFF"/>
            </w:tcBorders>
            <w:shd w:val="clear" w:color="auto" w:fill="FFFFFF"/>
            <w:tcMar>
              <w:top w:w="80" w:type="dxa"/>
              <w:left w:w="100" w:type="dxa"/>
              <w:bottom w:w="80" w:type="dxa"/>
              <w:right w:w="100" w:type="dxa"/>
            </w:tcMar>
            <w:vAlign w:val="center"/>
          </w:tcPr>
          <w:p w14:paraId="3470E1DE" w14:textId="77777777" w:rsidR="00044CAC" w:rsidRDefault="00A20A4C">
            <w:r>
              <w:rPr>
                <w:b/>
                <w:bCs/>
              </w:rPr>
              <w:t>Campo</w:t>
            </w:r>
          </w:p>
        </w:tc>
        <w:tc>
          <w:tcPr>
            <w:tcW w:w="6600" w:type="dxa"/>
            <w:tcBorders>
              <w:top w:val="none" w:sz="0" w:space="0" w:color="FFFFFF"/>
              <w:left w:val="none" w:sz="0" w:space="0" w:color="FFFFFF"/>
              <w:bottom w:val="single" w:sz="12" w:space="0" w:color="000000"/>
              <w:right w:val="none" w:sz="0" w:space="0" w:color="FFFFFF"/>
            </w:tcBorders>
            <w:shd w:val="clear" w:color="auto" w:fill="FFFFFF"/>
            <w:tcMar>
              <w:top w:w="80" w:type="dxa"/>
              <w:left w:w="100" w:type="dxa"/>
              <w:bottom w:w="80" w:type="dxa"/>
              <w:right w:w="100" w:type="dxa"/>
            </w:tcMar>
            <w:vAlign w:val="center"/>
          </w:tcPr>
          <w:p w14:paraId="6995D411" w14:textId="77777777" w:rsidR="00044CAC" w:rsidRDefault="00A20A4C">
            <w:r>
              <w:rPr>
                <w:b/>
                <w:bCs/>
              </w:rPr>
              <w:t>Descrição</w:t>
            </w:r>
          </w:p>
        </w:tc>
      </w:tr>
      <w:tr w:rsidR="00044CAC" w14:paraId="74E8814A"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6D9137D7" w14:textId="77777777" w:rsidR="00044CAC" w:rsidRDefault="00A20A4C">
            <w:r>
              <w:t>Problema identificado</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771828F7" w14:textId="77777777" w:rsidR="00044CAC" w:rsidRDefault="00A20A4C">
            <w:r>
              <w:t>30.470 dos 47.339 estabelecimentos do extrato de SJC (64,37%) apresentam Qtd Vínculos Ativos = 0 — declaração de “RAIS negativa”: o estabelecimento existe formalmente, mas não tinha nenhum vínculo empregatício ativo no ano de referência.</w:t>
            </w:r>
          </w:p>
        </w:tc>
      </w:tr>
      <w:tr w:rsidR="00044CAC" w14:paraId="6FFC7C3C"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16B4F3F0" w14:textId="77777777" w:rsidR="00044CAC" w:rsidRDefault="00A20A4C">
            <w:r>
              <w:t>Decisão adotada</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36FF0200" w14:textId="77777777" w:rsidR="00044CAC" w:rsidRDefault="00A20A4C">
            <w:r>
              <w:t>Os estabelecimentos com vínculos zerados permanecem na base (não são excluídos) e recebem um indicador próprio “possui_vinculo_ativo”. As visualizações de contratação e ranking de empregadores (US07, US08) usam por padrão apenas os 16.869 estabelecimentos com vínculo ativo; o total de estabelecimentos cadastrados é exibido à parte, como indicador de densidade empresarial do município.</w:t>
            </w:r>
          </w:p>
        </w:tc>
      </w:tr>
      <w:tr w:rsidR="00044CAC" w14:paraId="38ED46CD"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4436F984" w14:textId="77777777" w:rsidR="00044CAC" w:rsidRDefault="00A20A4C">
            <w:r>
              <w:t>Justificativa</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0C0F1034" w14:textId="77777777" w:rsidR="00044CAC" w:rsidRDefault="00A20A4C">
            <w:r>
              <w:t>Em orientação enviada por áudio ao Product Owner, o cliente esclareceu que a alta proporção de RAIS negativa não deve ser tratada como erro a ser descartado — pode refletir uma característica real da economia do município. A orientação foi reportar essa métrica como indicador próprio do dashboard, em vez de simplesmente excluí-la das análises de emprego.</w:t>
            </w:r>
          </w:p>
        </w:tc>
      </w:tr>
      <w:tr w:rsidR="00044CAC" w14:paraId="0A678EF6"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01C1EAE3" w14:textId="77777777" w:rsidR="00044CAC" w:rsidRDefault="00A20A4C">
            <w:r>
              <w:t>Impacto</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075CB3BA" w14:textId="77777777" w:rsidR="00044CAC" w:rsidRDefault="00A20A4C">
            <w:r>
              <w:t>A base de análise de contratações usa por padrão 16.869 estabelecimentos ativos (dos 47.339 totais); o percentual de RAIS negativa (64,37%) é exibido como indicador próprio, não como dado descartado.</w:t>
            </w:r>
          </w:p>
        </w:tc>
      </w:tr>
      <w:tr w:rsidR="00044CAC" w14:paraId="4AFA6F08"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41E43A2A" w14:textId="77777777" w:rsidR="00044CAC" w:rsidRDefault="00A20A4C">
            <w:r>
              <w:t>User Stories impactadas</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6B9840CA" w14:textId="77777777" w:rsidR="00044CAC" w:rsidRDefault="00A20A4C">
            <w:r>
              <w:t>US07, US08</w:t>
            </w:r>
          </w:p>
        </w:tc>
      </w:tr>
      <w:tr w:rsidR="00044CAC" w14:paraId="23E38E48"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0482643F" w14:textId="77777777" w:rsidR="00044CAC" w:rsidRDefault="00A20A4C">
            <w:r>
              <w:t>Status</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194C6C4D" w14:textId="77777777" w:rsidR="00044CAC" w:rsidRDefault="00A20A4C">
            <w:r>
              <w:t>Fechada — confirmada pelo cliente</w:t>
            </w:r>
          </w:p>
        </w:tc>
      </w:tr>
    </w:tbl>
    <w:p w14:paraId="6BD61E7F" w14:textId="77777777" w:rsidR="00044CAC" w:rsidRDefault="00A20A4C">
      <w:pPr>
        <w:pStyle w:val="Ttulo3"/>
      </w:pPr>
      <w:r>
        <w:t>DEC-002 — Mistura de tipos de estabelecimento (CNPJ, CAEPF, CNO)</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600"/>
      </w:tblGrid>
      <w:tr w:rsidR="00044CAC" w14:paraId="55747B09" w14:textId="77777777">
        <w:trPr>
          <w:tblHeader/>
        </w:trPr>
        <w:tc>
          <w:tcPr>
            <w:tcW w:w="2600" w:type="dxa"/>
            <w:tcBorders>
              <w:top w:val="none" w:sz="0" w:space="0" w:color="FFFFFF"/>
              <w:left w:val="none" w:sz="0" w:space="0" w:color="FFFFFF"/>
              <w:bottom w:val="single" w:sz="12" w:space="0" w:color="000000"/>
              <w:right w:val="none" w:sz="0" w:space="0" w:color="FFFFFF"/>
            </w:tcBorders>
            <w:shd w:val="clear" w:color="auto" w:fill="FFFFFF"/>
            <w:tcMar>
              <w:top w:w="80" w:type="dxa"/>
              <w:left w:w="100" w:type="dxa"/>
              <w:bottom w:w="80" w:type="dxa"/>
              <w:right w:w="100" w:type="dxa"/>
            </w:tcMar>
            <w:vAlign w:val="center"/>
          </w:tcPr>
          <w:p w14:paraId="105CCCC6" w14:textId="77777777" w:rsidR="00044CAC" w:rsidRDefault="00A20A4C">
            <w:r>
              <w:rPr>
                <w:b/>
                <w:bCs/>
              </w:rPr>
              <w:t>Campo</w:t>
            </w:r>
          </w:p>
        </w:tc>
        <w:tc>
          <w:tcPr>
            <w:tcW w:w="6600" w:type="dxa"/>
            <w:tcBorders>
              <w:top w:val="none" w:sz="0" w:space="0" w:color="FFFFFF"/>
              <w:left w:val="none" w:sz="0" w:space="0" w:color="FFFFFF"/>
              <w:bottom w:val="single" w:sz="12" w:space="0" w:color="000000"/>
              <w:right w:val="none" w:sz="0" w:space="0" w:color="FFFFFF"/>
            </w:tcBorders>
            <w:shd w:val="clear" w:color="auto" w:fill="FFFFFF"/>
            <w:tcMar>
              <w:top w:w="80" w:type="dxa"/>
              <w:left w:w="100" w:type="dxa"/>
              <w:bottom w:w="80" w:type="dxa"/>
              <w:right w:w="100" w:type="dxa"/>
            </w:tcMar>
            <w:vAlign w:val="center"/>
          </w:tcPr>
          <w:p w14:paraId="53288B4A" w14:textId="77777777" w:rsidR="00044CAC" w:rsidRDefault="00A20A4C">
            <w:r>
              <w:rPr>
                <w:b/>
                <w:bCs/>
              </w:rPr>
              <w:t>Descrição</w:t>
            </w:r>
          </w:p>
        </w:tc>
      </w:tr>
      <w:tr w:rsidR="00044CAC" w14:paraId="2C3A40D5"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70A0EA59" w14:textId="77777777" w:rsidR="00044CAC" w:rsidRDefault="00A20A4C">
            <w:r>
              <w:t>Problema identificado</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684B4F9E" w14:textId="77777777" w:rsidR="00044CAC" w:rsidRDefault="00A20A4C">
            <w:r>
              <w:t xml:space="preserve">A coluna Tipo Estab mistura três naturezas diferentes de registro: CNPJ — pessoa jurídica (46.244 linhas), CAEPF — produtor rural/profissional </w:t>
            </w:r>
            <w:proofErr w:type="gramStart"/>
            <w:r>
              <w:t>autônomo pessoa</w:t>
            </w:r>
            <w:proofErr w:type="gramEnd"/>
            <w:r>
              <w:t xml:space="preserve"> física (708) e CNO — obra de construção civil (387).</w:t>
            </w:r>
          </w:p>
        </w:tc>
      </w:tr>
      <w:tr w:rsidR="00044CAC" w14:paraId="2F5298A3"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51D5FC73" w14:textId="77777777" w:rsidR="00044CAC" w:rsidRDefault="00A20A4C">
            <w:r>
              <w:lastRenderedPageBreak/>
              <w:t>Decisão adotada</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1942B626" w14:textId="77777777" w:rsidR="00044CAC" w:rsidRDefault="00A20A4C">
            <w:r>
              <w:t>Foi criado o campo categórico “tipo_estabelecimento”. O recorte padrão do dashboard usa apenas registros do tipo CNPJ, alinhado ao escopo de “ecossistema industrial e de serviços”; CAEPF e CNO ficam disponíveis como filtro opcional, fora do recorte padrão.</w:t>
            </w:r>
          </w:p>
        </w:tc>
      </w:tr>
      <w:tr w:rsidR="00044CAC" w14:paraId="79A755CB"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0EB66DF9" w14:textId="77777777" w:rsidR="00044CAC" w:rsidRDefault="00A20A4C">
            <w:r>
              <w:t>Justificativa</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07A5AB3F" w14:textId="77777777" w:rsidR="00044CAC" w:rsidRDefault="00A20A4C">
            <w:r>
              <w:t>O requisito do cliente pede mapeamento de “empresas” — CAEPF (pessoa física autônoma) e CNO (obra temporária) não representam empresas no sentido solicitado. Sem essa separação, comparações entre setores e rankings misturariam naturezas jurídicas distintas, invalidando as comparações.</w:t>
            </w:r>
          </w:p>
        </w:tc>
      </w:tr>
      <w:tr w:rsidR="00044CAC" w14:paraId="700E464B"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239338A5" w14:textId="77777777" w:rsidR="00044CAC" w:rsidRDefault="00A20A4C">
            <w:r>
              <w:t>Impacto</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61F0DAFF" w14:textId="77777777" w:rsidR="00044CAC" w:rsidRDefault="00A20A4C">
            <w:r>
              <w:t>Exclusão de 1.095 registros (708 + 387) do recorte principal — impacto pequeno no total, mas evita erro conceitual na apresentação.</w:t>
            </w:r>
          </w:p>
        </w:tc>
      </w:tr>
      <w:tr w:rsidR="00044CAC" w14:paraId="5528B245"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6EABAD65" w14:textId="77777777" w:rsidR="00044CAC" w:rsidRDefault="00A20A4C">
            <w:r>
              <w:t>User Stories impactadas</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4B27E929" w14:textId="77777777" w:rsidR="00044CAC" w:rsidRDefault="00A20A4C">
            <w:r>
              <w:t>US02, US07, US08</w:t>
            </w:r>
          </w:p>
        </w:tc>
      </w:tr>
      <w:tr w:rsidR="00044CAC" w14:paraId="03AC159D"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154BDBE2" w14:textId="77777777" w:rsidR="00044CAC" w:rsidRDefault="00A20A4C">
            <w:r>
              <w:t>Status</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1A3F2646" w14:textId="77777777" w:rsidR="00044CAC" w:rsidRDefault="00A20A4C">
            <w:r>
              <w:t>Fechada — critério assumido pela equipe; validar formalmente com o cliente se possível</w:t>
            </w:r>
          </w:p>
        </w:tc>
      </w:tr>
    </w:tbl>
    <w:p w14:paraId="7BC5D4C4" w14:textId="77777777" w:rsidR="00044CAC" w:rsidRDefault="00A20A4C">
      <w:pPr>
        <w:pStyle w:val="Ttulo3"/>
      </w:pPr>
      <w:r>
        <w:t>DEC-003 — Ano-base de referência da RAIS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600"/>
      </w:tblGrid>
      <w:tr w:rsidR="00044CAC" w14:paraId="3CADAAFC" w14:textId="77777777">
        <w:trPr>
          <w:tblHeader/>
        </w:trPr>
        <w:tc>
          <w:tcPr>
            <w:tcW w:w="2600" w:type="dxa"/>
            <w:tcBorders>
              <w:top w:val="none" w:sz="0" w:space="0" w:color="FFFFFF"/>
              <w:left w:val="none" w:sz="0" w:space="0" w:color="FFFFFF"/>
              <w:bottom w:val="single" w:sz="12" w:space="0" w:color="000000"/>
              <w:right w:val="none" w:sz="0" w:space="0" w:color="FFFFFF"/>
            </w:tcBorders>
            <w:shd w:val="clear" w:color="auto" w:fill="FFFFFF"/>
            <w:tcMar>
              <w:top w:w="80" w:type="dxa"/>
              <w:left w:w="100" w:type="dxa"/>
              <w:bottom w:w="80" w:type="dxa"/>
              <w:right w:w="100" w:type="dxa"/>
            </w:tcMar>
            <w:vAlign w:val="center"/>
          </w:tcPr>
          <w:p w14:paraId="6F804DE6" w14:textId="77777777" w:rsidR="00044CAC" w:rsidRDefault="00A20A4C">
            <w:r>
              <w:rPr>
                <w:b/>
                <w:bCs/>
              </w:rPr>
              <w:t>Campo</w:t>
            </w:r>
          </w:p>
        </w:tc>
        <w:tc>
          <w:tcPr>
            <w:tcW w:w="6600" w:type="dxa"/>
            <w:tcBorders>
              <w:top w:val="none" w:sz="0" w:space="0" w:color="FFFFFF"/>
              <w:left w:val="none" w:sz="0" w:space="0" w:color="FFFFFF"/>
              <w:bottom w:val="single" w:sz="12" w:space="0" w:color="000000"/>
              <w:right w:val="none" w:sz="0" w:space="0" w:color="FFFFFF"/>
            </w:tcBorders>
            <w:shd w:val="clear" w:color="auto" w:fill="FFFFFF"/>
            <w:tcMar>
              <w:top w:w="80" w:type="dxa"/>
              <w:left w:w="100" w:type="dxa"/>
              <w:bottom w:w="80" w:type="dxa"/>
              <w:right w:w="100" w:type="dxa"/>
            </w:tcMar>
            <w:vAlign w:val="center"/>
          </w:tcPr>
          <w:p w14:paraId="28396392" w14:textId="77777777" w:rsidR="00044CAC" w:rsidRDefault="00A20A4C">
            <w:r>
              <w:rPr>
                <w:b/>
                <w:bCs/>
              </w:rPr>
              <w:t>Descrição</w:t>
            </w:r>
          </w:p>
        </w:tc>
      </w:tr>
      <w:tr w:rsidR="00044CAC" w14:paraId="318FAA6B"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6D85624E" w14:textId="77777777" w:rsidR="00044CAC" w:rsidRDefault="00A20A4C">
            <w:r>
              <w:t>Problema identificado</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31194598" w14:textId="77777777" w:rsidR="00044CAC" w:rsidRDefault="00A20A4C">
            <w:r>
              <w:t>O arquivo fornecido (RAIS_ESTAB_PUB) não contém uma coluna explícita indicando o ano-base da declaração RAIS.</w:t>
            </w:r>
          </w:p>
        </w:tc>
      </w:tr>
      <w:tr w:rsidR="00044CAC" w14:paraId="370C7949"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6F89884F" w14:textId="77777777" w:rsidR="00044CAC" w:rsidRDefault="00A20A4C">
            <w:r>
              <w:t>Decisão adotada</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0A3F3CCF" w14:textId="77777777" w:rsidR="00044CAC" w:rsidRDefault="00A20A4C">
            <w:r>
              <w:t>Adotar RAIS ano-base 2024 em todas as análises e visualizações do painel, com a informação indicada explicitamente em todo gráfico ou relatório publicado.</w:t>
            </w:r>
          </w:p>
        </w:tc>
      </w:tr>
      <w:tr w:rsidR="00044CAC" w14:paraId="325A5C3C"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7495C62D" w14:textId="77777777" w:rsidR="00044CAC" w:rsidRDefault="00A20A4C">
            <w:r>
              <w:t>Justificativa</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30E09254" w14:textId="77777777" w:rsidR="00044CAC" w:rsidRDefault="00A20A4C">
            <w:r>
              <w:t>O cliente (CADI / Secretaria de Desenvolvimento Econômico) confirmou o ano-base 2024. O ano de referência é essencial para cruzar com o PIB dos Municípios (IBGE) no mesmo período (US09) e para qualquer comparação temporal futura.</w:t>
            </w:r>
          </w:p>
        </w:tc>
      </w:tr>
      <w:tr w:rsidR="00044CAC" w14:paraId="70B3C5DD"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4F913AB8" w14:textId="77777777" w:rsidR="00044CAC" w:rsidRDefault="00A20A4C">
            <w:r>
              <w:t>Impacto</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11868548" w14:textId="77777777" w:rsidR="00044CAC" w:rsidRDefault="00A20A4C">
            <w:r>
              <w:t>Desbloqueia a US09 (impacto no PIB) e fecha a pendência mais crítica do checklist de erros. Toda visualização temporal do painel deve indicar “RAIS 2024”.</w:t>
            </w:r>
          </w:p>
        </w:tc>
      </w:tr>
      <w:tr w:rsidR="00044CAC" w14:paraId="68C70CE9"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3BBA9DA8" w14:textId="77777777" w:rsidR="00044CAC" w:rsidRDefault="00A20A4C">
            <w:r>
              <w:t>User Stories impactadas</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013EFEF1" w14:textId="77777777" w:rsidR="00044CAC" w:rsidRDefault="00A20A4C">
            <w:r>
              <w:t>US08, US09, US10</w:t>
            </w:r>
          </w:p>
        </w:tc>
      </w:tr>
      <w:tr w:rsidR="00044CAC" w14:paraId="7F4CA793"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37472AAD" w14:textId="77777777" w:rsidR="00044CAC" w:rsidRDefault="00A20A4C">
            <w:r>
              <w:t>Status</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403D0098" w14:textId="77777777" w:rsidR="00044CAC" w:rsidRDefault="00A20A4C">
            <w:r>
              <w:t>Fechada — confirmada pelo cliente</w:t>
            </w:r>
          </w:p>
        </w:tc>
      </w:tr>
    </w:tbl>
    <w:p w14:paraId="3AC5A2DF" w14:textId="77777777" w:rsidR="00044CAC" w:rsidRDefault="00A20A4C">
      <w:pPr>
        <w:pStyle w:val="Ttulo3"/>
      </w:pPr>
      <w:r>
        <w:t>DEC-004 — Ausência de identificação nominal (nome/CNPJ) nos dados públicos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600"/>
      </w:tblGrid>
      <w:tr w:rsidR="00044CAC" w14:paraId="23006FF0" w14:textId="77777777">
        <w:trPr>
          <w:tblHeader/>
        </w:trPr>
        <w:tc>
          <w:tcPr>
            <w:tcW w:w="2600" w:type="dxa"/>
            <w:tcBorders>
              <w:top w:val="none" w:sz="0" w:space="0" w:color="FFFFFF"/>
              <w:left w:val="none" w:sz="0" w:space="0" w:color="FFFFFF"/>
              <w:bottom w:val="single" w:sz="12" w:space="0" w:color="000000"/>
              <w:right w:val="none" w:sz="0" w:space="0" w:color="FFFFFF"/>
            </w:tcBorders>
            <w:shd w:val="clear" w:color="auto" w:fill="FFFFFF"/>
            <w:tcMar>
              <w:top w:w="80" w:type="dxa"/>
              <w:left w:w="100" w:type="dxa"/>
              <w:bottom w:w="80" w:type="dxa"/>
              <w:right w:w="100" w:type="dxa"/>
            </w:tcMar>
            <w:vAlign w:val="center"/>
          </w:tcPr>
          <w:p w14:paraId="4B061137" w14:textId="77777777" w:rsidR="00044CAC" w:rsidRDefault="00A20A4C">
            <w:r>
              <w:rPr>
                <w:b/>
                <w:bCs/>
              </w:rPr>
              <w:t>Campo</w:t>
            </w:r>
          </w:p>
        </w:tc>
        <w:tc>
          <w:tcPr>
            <w:tcW w:w="6600" w:type="dxa"/>
            <w:tcBorders>
              <w:top w:val="none" w:sz="0" w:space="0" w:color="FFFFFF"/>
              <w:left w:val="none" w:sz="0" w:space="0" w:color="FFFFFF"/>
              <w:bottom w:val="single" w:sz="12" w:space="0" w:color="000000"/>
              <w:right w:val="none" w:sz="0" w:space="0" w:color="FFFFFF"/>
            </w:tcBorders>
            <w:shd w:val="clear" w:color="auto" w:fill="FFFFFF"/>
            <w:tcMar>
              <w:top w:w="80" w:type="dxa"/>
              <w:left w:w="100" w:type="dxa"/>
              <w:bottom w:w="80" w:type="dxa"/>
              <w:right w:w="100" w:type="dxa"/>
            </w:tcMar>
            <w:vAlign w:val="center"/>
          </w:tcPr>
          <w:p w14:paraId="42CF3A68" w14:textId="77777777" w:rsidR="00044CAC" w:rsidRDefault="00A20A4C">
            <w:r>
              <w:rPr>
                <w:b/>
                <w:bCs/>
              </w:rPr>
              <w:t>Descrição</w:t>
            </w:r>
          </w:p>
        </w:tc>
      </w:tr>
      <w:tr w:rsidR="00044CAC" w14:paraId="2A270BDB"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62D320F4" w14:textId="77777777" w:rsidR="00044CAC" w:rsidRDefault="00A20A4C">
            <w:r>
              <w:t>Problema identificado</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58A41784" w14:textId="77777777" w:rsidR="00044CAC" w:rsidRDefault="00A20A4C">
            <w:r>
              <w:t>Os microdados públicos da RAIS não trazem nome ou CNPJ das empresas, apenas atributos agregados por estabelecimento (CNAE, porte, natureza jurídica, CEP).</w:t>
            </w:r>
          </w:p>
        </w:tc>
      </w:tr>
      <w:tr w:rsidR="00044CAC" w14:paraId="14AABC53"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36FE8F6D" w14:textId="77777777" w:rsidR="00044CAC" w:rsidRDefault="00A20A4C">
            <w:r>
              <w:t>Decisão adotada</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5ED10B48" w14:textId="77777777" w:rsidR="00044CAC" w:rsidRDefault="00A20A4C">
            <w:r>
              <w:t>Não tentar inferir</w:t>
            </w:r>
            <w:proofErr w:type="gramStart"/>
            <w:r>
              <w:t>/“</w:t>
            </w:r>
            <w:proofErr w:type="gramEnd"/>
            <w:r>
              <w:t xml:space="preserve">adivinhar” nomes de empresa a partir de CNAE + porte. O ranking de “empresas que mais contratam” (US07) é apresentado de forma agregada — por setor (CNAE) e por região — em </w:t>
            </w:r>
            <w:r>
              <w:lastRenderedPageBreak/>
              <w:t>vez de por razão social, salvo se o cliente confirmar o fornecimento de uma base identificada.</w:t>
            </w:r>
          </w:p>
        </w:tc>
      </w:tr>
      <w:tr w:rsidR="00044CAC" w14:paraId="33C88731"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75077698" w14:textId="77777777" w:rsidR="00044CAC" w:rsidRDefault="00A20A4C">
            <w:r>
              <w:lastRenderedPageBreak/>
              <w:t>Justificativa</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3A5D9922" w14:textId="77777777" w:rsidR="00044CAC" w:rsidRDefault="00A20A4C">
            <w:r>
              <w:t>Dados identificados da RAIS são sigilosos por lei (acesso restrito a órgãos públicos autorizados); usar a RAIS pública para supor identidade de empresas seria metodologicamente incorreto e não verificável/auditável.</w:t>
            </w:r>
          </w:p>
        </w:tc>
      </w:tr>
      <w:tr w:rsidR="00044CAC" w14:paraId="3C19278F"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2EF73479" w14:textId="77777777" w:rsidR="00044CAC" w:rsidRDefault="00A20A4C">
            <w:r>
              <w:t>Impacto</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5CA4DF58" w14:textId="77777777" w:rsidR="00044CAC" w:rsidRDefault="00A20A4C">
            <w:r>
              <w:t>A camada de “nome de empresa” no produto final depende de fonte externa curada (ou de eventual base identificada do cliente), não da RAIS pública.</w:t>
            </w:r>
          </w:p>
        </w:tc>
      </w:tr>
      <w:tr w:rsidR="00044CAC" w14:paraId="70B50C07"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2C0F64B4" w14:textId="77777777" w:rsidR="00044CAC" w:rsidRDefault="00A20A4C">
            <w:r>
              <w:t>User Stories impactadas</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6597195E" w14:textId="77777777" w:rsidR="00044CAC" w:rsidRDefault="00A20A4C">
            <w:r>
              <w:t>US07</w:t>
            </w:r>
          </w:p>
        </w:tc>
      </w:tr>
      <w:tr w:rsidR="00044CAC" w14:paraId="24286FAE"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6C9B636C" w14:textId="77777777" w:rsidR="00044CAC" w:rsidRDefault="00A20A4C">
            <w:r>
              <w:t>Status</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2042223E" w14:textId="77777777" w:rsidR="00044CAC" w:rsidRDefault="00A20A4C">
            <w:r>
              <w:t>Aberta — aguardando resposta do cliente sobre eventual base identificada</w:t>
            </w:r>
          </w:p>
        </w:tc>
      </w:tr>
    </w:tbl>
    <w:p w14:paraId="3E5120CE" w14:textId="77777777" w:rsidR="00044CAC" w:rsidRDefault="00A20A4C">
      <w:pPr>
        <w:pStyle w:val="Ttulo3"/>
      </w:pPr>
      <w:r>
        <w:t>DEC-005 — Defasagem entre RAIS (2024) e PIB dos Municípios/IBGE (2022–2023)</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600"/>
      </w:tblGrid>
      <w:tr w:rsidR="00044CAC" w14:paraId="0F35FF4E" w14:textId="77777777">
        <w:trPr>
          <w:tblHeader/>
        </w:trPr>
        <w:tc>
          <w:tcPr>
            <w:tcW w:w="2600" w:type="dxa"/>
            <w:tcBorders>
              <w:top w:val="none" w:sz="0" w:space="0" w:color="FFFFFF"/>
              <w:left w:val="none" w:sz="0" w:space="0" w:color="FFFFFF"/>
              <w:bottom w:val="single" w:sz="12" w:space="0" w:color="000000"/>
              <w:right w:val="none" w:sz="0" w:space="0" w:color="FFFFFF"/>
            </w:tcBorders>
            <w:shd w:val="clear" w:color="auto" w:fill="FFFFFF"/>
            <w:tcMar>
              <w:top w:w="80" w:type="dxa"/>
              <w:left w:w="100" w:type="dxa"/>
              <w:bottom w:w="80" w:type="dxa"/>
              <w:right w:w="100" w:type="dxa"/>
            </w:tcMar>
            <w:vAlign w:val="center"/>
          </w:tcPr>
          <w:p w14:paraId="49645A53" w14:textId="77777777" w:rsidR="00044CAC" w:rsidRDefault="00A20A4C">
            <w:r>
              <w:rPr>
                <w:b/>
                <w:bCs/>
              </w:rPr>
              <w:t>Campo</w:t>
            </w:r>
          </w:p>
        </w:tc>
        <w:tc>
          <w:tcPr>
            <w:tcW w:w="6600" w:type="dxa"/>
            <w:tcBorders>
              <w:top w:val="none" w:sz="0" w:space="0" w:color="FFFFFF"/>
              <w:left w:val="none" w:sz="0" w:space="0" w:color="FFFFFF"/>
              <w:bottom w:val="single" w:sz="12" w:space="0" w:color="000000"/>
              <w:right w:val="none" w:sz="0" w:space="0" w:color="FFFFFF"/>
            </w:tcBorders>
            <w:shd w:val="clear" w:color="auto" w:fill="FFFFFF"/>
            <w:tcMar>
              <w:top w:w="80" w:type="dxa"/>
              <w:left w:w="100" w:type="dxa"/>
              <w:bottom w:w="80" w:type="dxa"/>
              <w:right w:w="100" w:type="dxa"/>
            </w:tcMar>
            <w:vAlign w:val="center"/>
          </w:tcPr>
          <w:p w14:paraId="29E9F3AD" w14:textId="77777777" w:rsidR="00044CAC" w:rsidRDefault="00A20A4C">
            <w:r>
              <w:rPr>
                <w:b/>
                <w:bCs/>
              </w:rPr>
              <w:t>Descrição</w:t>
            </w:r>
          </w:p>
        </w:tc>
      </w:tr>
      <w:tr w:rsidR="00044CAC" w14:paraId="6BC0D91B"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25900371" w14:textId="77777777" w:rsidR="00044CAC" w:rsidRDefault="00A20A4C">
            <w:r>
              <w:t>Problema identificado</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20E0D10E" w14:textId="77777777" w:rsidR="00044CAC" w:rsidRDefault="00A20A4C">
            <w:r>
              <w:t>Com o ano-base da RAIS confirmado em 2024 (DEC-003), verificou-se que o PIB dos Municípios (IBGE) mais recente disponível é a série 2022–2023 — não existe PIB 2024 publicado; a próxima divulgação está prevista apenas para o fim de 2026/2027.</w:t>
            </w:r>
          </w:p>
        </w:tc>
      </w:tr>
      <w:tr w:rsidR="00044CAC" w14:paraId="201C20A6"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6055C489" w14:textId="77777777" w:rsidR="00044CAC" w:rsidRDefault="00A20A4C">
            <w:r>
              <w:t>Decisão adotada</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5561B2FB" w14:textId="77777777" w:rsidR="00044CAC" w:rsidRDefault="00A20A4C">
            <w:r>
              <w:t>Para a US09 (impacto no PIB), cruzar RAIS 2024 com o PIB municipal 2023 — o ano mais recente disponível — documentando explicitamente, no dashboard e no relatório técnico, a defasagem de 1 ano entre as duas fontes.</w:t>
            </w:r>
          </w:p>
        </w:tc>
      </w:tr>
      <w:tr w:rsidR="00044CAC" w14:paraId="5FFAFFB4"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721D557F" w14:textId="77777777" w:rsidR="00044CAC" w:rsidRDefault="00A20A4C">
            <w:r>
              <w:t>Justificativa</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6A65D721" w14:textId="77777777" w:rsidR="00044CAC" w:rsidRDefault="00A20A4C">
            <w:r>
              <w:t>O prazo do projeto (1 semestre letivo, 3 sprints) não comporta aguardar a divulgação do PIB 2024 pelo IBGE. Cruzar com o dado mais recente disponível, com a defasagem declarada como limitação metodológica, é prática padrão em estudos municipais que combinam RAIS e Contas Nacionais.</w:t>
            </w:r>
          </w:p>
        </w:tc>
      </w:tr>
      <w:tr w:rsidR="00044CAC" w14:paraId="321D610F"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3B3079C0" w14:textId="77777777" w:rsidR="00044CAC" w:rsidRDefault="00A20A4C">
            <w:r>
              <w:t>Impacto</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4DBBA107" w14:textId="77777777" w:rsidR="00044CAC" w:rsidRDefault="00A20A4C">
            <w:r>
              <w:t>Todo gráfico que cruzar RAIS x PIB deve indicar os anos de cada fonte (RAIS 2024 / PIB 2023) para evitar leitura equivocada.</w:t>
            </w:r>
          </w:p>
        </w:tc>
      </w:tr>
      <w:tr w:rsidR="00044CAC" w14:paraId="61ED063A"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2C215C49" w14:textId="77777777" w:rsidR="00044CAC" w:rsidRDefault="00A20A4C">
            <w:r>
              <w:t>User Stories impactadas</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16DE1C36" w14:textId="77777777" w:rsidR="00044CAC" w:rsidRDefault="00A20A4C">
            <w:r>
              <w:t>US09</w:t>
            </w:r>
          </w:p>
        </w:tc>
      </w:tr>
      <w:tr w:rsidR="00044CAC" w14:paraId="43D81807"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5D14CB44" w14:textId="77777777" w:rsidR="00044CAC" w:rsidRDefault="00A20A4C">
            <w:r>
              <w:t>Status</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01C6D4A3" w14:textId="77777777" w:rsidR="00044CAC" w:rsidRDefault="00A20A4C">
            <w:r>
              <w:t>Fechada</w:t>
            </w:r>
          </w:p>
        </w:tc>
      </w:tr>
    </w:tbl>
    <w:p w14:paraId="3BB554DE" w14:textId="77777777" w:rsidR="00044CAC" w:rsidRDefault="00A20A4C">
      <w:pPr>
        <w:spacing w:after="160"/>
      </w:pPr>
      <w:r>
        <w:t xml:space="preserve">Decisões numeradas pela equipe durante a Sprint 2 sem registro neste log (DEC-007, DEC-010 e DEC-012): conteúdo não localizado nos arquivos do projeto — completar a partir do registro original da equipe. As DEC-006, 008, 009, 011, 013 e 014 abaixo foram transcritas das Notas Metodológicas do painel Power BI.</w:t>
      </w:r>
    </w:p>
    <w:p w14:paraId="23A2E845" w14:textId="77777777" w:rsidR="00044CAC" w:rsidRDefault="00A20A4C">
      <w:pPr>
        <w:pStyle w:val="Ttulo2"/>
      </w:pPr>
      <w:r>
        <w:t xml:space="preserve">2.1 Decisões registradas na Sprint 2</w:t>
      </w:r>
    </w:p>
    <w:p w14:paraId="5A742308" w14:textId="77777777" w:rsidR="00044CAC" w:rsidRDefault="00A20A4C">
      <w:pPr>
        <w:pStyle w:val="Ttulo3"/>
      </w:pPr>
      <w:r>
        <w:t xml:space="preserve">DEC-006 e DEC-009 — Valor adicionado por setor só até 2021; cruzamento com o emprego de 2024</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600"/>
      </w:tblGrid>
      <w:tr w:rsidR="00044CAC" w14:paraId="33F588E3" w14:textId="77777777">
        <w:trPr>
          <w:tblHeader/>
        </w:trPr>
        <w:tc>
          <w:tcPr>
            <w:tcW w:w="2600" w:type="dxa"/>
            <w:tcBorders>
              <w:top w:val="none" w:sz="0" w:space="0" w:color="FFFFFF"/>
              <w:left w:val="none" w:sz="0" w:space="0" w:color="FFFFFF"/>
              <w:bottom w:val="single" w:sz="12" w:space="0" w:color="000000"/>
              <w:right w:val="none" w:sz="0" w:space="0" w:color="FFFFFF"/>
            </w:tcBorders>
            <w:shd w:val="clear" w:color="auto" w:fill="FFFFFF"/>
            <w:tcMar>
              <w:top w:w="80" w:type="dxa"/>
              <w:left w:w="100" w:type="dxa"/>
              <w:bottom w:w="80" w:type="dxa"/>
              <w:right w:w="100" w:type="dxa"/>
            </w:tcMar>
            <w:vAlign w:val="center"/>
          </w:tcPr>
          <w:p w14:paraId="3470E1DE" w14:textId="77777777" w:rsidR="00044CAC" w:rsidRDefault="00A20A4C">
            <w:r>
              <w:rPr>
                <w:b/>
                <w:bCs/>
              </w:rPr>
              <w:t xml:space="preserve">Campo</w:t>
            </w:r>
          </w:p>
        </w:tc>
        <w:tc>
          <w:tcPr>
            <w:tcW w:w="6600" w:type="dxa"/>
            <w:tcBorders>
              <w:top w:val="none" w:sz="0" w:space="0" w:color="FFFFFF"/>
              <w:left w:val="none" w:sz="0" w:space="0" w:color="FFFFFF"/>
              <w:bottom w:val="single" w:sz="12" w:space="0" w:color="000000"/>
              <w:right w:val="none" w:sz="0" w:space="0" w:color="FFFFFF"/>
            </w:tcBorders>
            <w:shd w:val="clear" w:color="auto" w:fill="FFFFFF"/>
            <w:tcMar>
              <w:top w:w="80" w:type="dxa"/>
              <w:left w:w="100" w:type="dxa"/>
              <w:bottom w:w="80" w:type="dxa"/>
              <w:right w:w="100" w:type="dxa"/>
            </w:tcMar>
            <w:vAlign w:val="center"/>
          </w:tcPr>
          <w:p w14:paraId="6995D411" w14:textId="77777777" w:rsidR="00044CAC" w:rsidRDefault="00A20A4C">
            <w:r>
              <w:rPr>
                <w:b/>
                <w:bCs/>
              </w:rPr>
              <w:t xml:space="preserve">Descrição</w:t>
            </w:r>
          </w:p>
        </w:tc>
      </w:tr>
      <w:tr w:rsidR="00044CAC" w14:paraId="74E8814A"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6D9137D7" w14:textId="77777777" w:rsidR="00044CAC" w:rsidRDefault="00A20A4C">
            <w:r>
              <w:rPr>
                <w:b w:val="false"/>
              </w:rPr>
              <w:t xml:space="preserve">Problema identificado</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771828F7" w14:textId="77777777" w:rsidR="00044CAC" w:rsidRDefault="00A20A4C">
            <w:r>
              <w:rPr>
                <w:b w:val="false"/>
              </w:rPr>
              <w:t xml:space="preserve">O IBGE não publicou o valor adicionado por setor de 2022 e 2023 (só o PIB total), por causa da mudança do ano de referência das Contas Nacionais. O último ano com detalhe setorial é 2021, enquanto a RAIS é de 2024.</w:t>
            </w:r>
          </w:p>
        </w:tc>
      </w:tr>
      <w:tr w:rsidR="00044CAC" w14:paraId="74E8814A"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6D9137D7" w14:textId="77777777" w:rsidR="00044CAC" w:rsidRDefault="00A20A4C">
            <w:r>
              <w:rPr>
                <w:b w:val="false"/>
              </w:rPr>
              <w:t xml:space="preserve">Decisão adotada</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771828F7" w14:textId="77777777" w:rsidR="00044CAC" w:rsidRDefault="00A20A4C">
            <w:r>
              <w:rPr>
                <w:b w:val="false"/>
              </w:rPr>
              <w:t xml:space="preserve">O cruzamento RAIS × PIB por setor compara a estrutura do valor adicionado de 2021 com a do emprego de 2024. Os anos de 2022 e 2023 ficam vazios (não zero) na série setorial.</w:t>
            </w:r>
          </w:p>
        </w:tc>
      </w:tr>
      <w:tr w:rsidR="00044CAC" w14:paraId="74E8814A"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6D9137D7" w14:textId="77777777" w:rsidR="00044CAC" w:rsidRDefault="00A20A4C">
            <w:r>
              <w:rPr>
                <w:b w:val="false"/>
              </w:rPr>
              <w:t xml:space="preserve">Justificativa</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771828F7" w14:textId="77777777" w:rsidR="00044CAC" w:rsidRDefault="00A20A4C">
            <w:r>
              <w:rPr>
                <w:b w:val="false"/>
              </w:rPr>
              <w:t xml:space="preserve">É o dado setorial mais recente publicado; comparar estruturas (participações) reduz o efeito da diferença de anos. Amplia a DEC-005.</w:t>
            </w:r>
          </w:p>
        </w:tc>
      </w:tr>
      <w:tr w:rsidR="00044CAC" w14:paraId="74E8814A"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6D9137D7" w14:textId="77777777" w:rsidR="00044CAC" w:rsidRDefault="00A20A4C">
            <w:r>
              <w:rPr>
                <w:b w:val="false"/>
              </w:rPr>
              <w:t xml:space="preserve">Impacto</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771828F7" w14:textId="77777777" w:rsidR="00044CAC" w:rsidRDefault="00A20A4C">
            <w:r>
              <w:rPr>
                <w:b w:val="false"/>
              </w:rPr>
              <w:t xml:space="preserve">Toda visualização do cruzamento informa os anos de cada fonte (VAB 2021 / RAIS 2024). Texto registrado nas Notas Metodológicas do painel.</w:t>
            </w:r>
          </w:p>
        </w:tc>
      </w:tr>
      <w:tr w:rsidR="00044CAC" w14:paraId="74E8814A"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6D9137D7" w14:textId="77777777" w:rsidR="00044CAC" w:rsidRDefault="00A20A4C">
            <w:r>
              <w:rPr>
                <w:b w:val="false"/>
              </w:rPr>
              <w:t xml:space="preserve">User Stories impactadas</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771828F7" w14:textId="77777777" w:rsidR="00044CAC" w:rsidRDefault="00A20A4C">
            <w:r>
              <w:rPr>
                <w:b w:val="false"/>
              </w:rPr>
              <w:t xml:space="preserve">US09</w:t>
            </w:r>
          </w:p>
        </w:tc>
      </w:tr>
      <w:tr w:rsidR="00044CAC" w14:paraId="74E8814A"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6D9137D7" w14:textId="77777777" w:rsidR="00044CAC" w:rsidRDefault="00A20A4C">
            <w:r>
              <w:rPr>
                <w:b w:val="false"/>
              </w:rPr>
              <w:t xml:space="preserve">Status</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771828F7" w14:textId="77777777" w:rsidR="00044CAC" w:rsidRDefault="00A20A4C">
            <w:r>
              <w:rPr>
                <w:b w:val="false"/>
              </w:rPr>
              <w:t xml:space="preserve">Fechada — registrada pela equipe no painel (as duas decisões aparecem juntas nas Notas Metodológicas; separar o texto conforme o registro original da equipe)</w:t>
            </w:r>
          </w:p>
        </w:tc>
      </w:tr>
    </w:tbl>
    <w:p w14:paraId="5A742308" w14:textId="77777777" w:rsidR="00044CAC" w:rsidRDefault="00A20A4C">
      <w:pPr>
        <w:pStyle w:val="Ttulo3"/>
      </w:pPr>
      <w:r>
        <w:t xml:space="preserve">DEC-008 — Correção de valores pela inflação (IPCA)</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600"/>
      </w:tblGrid>
      <w:tr w:rsidR="00044CAC" w14:paraId="33F588E3" w14:textId="77777777">
        <w:trPr>
          <w:tblHeader/>
        </w:trPr>
        <w:tc>
          <w:tcPr>
            <w:tcW w:w="2600" w:type="dxa"/>
            <w:tcBorders>
              <w:top w:val="none" w:sz="0" w:space="0" w:color="FFFFFF"/>
              <w:left w:val="none" w:sz="0" w:space="0" w:color="FFFFFF"/>
              <w:bottom w:val="single" w:sz="12" w:space="0" w:color="000000"/>
              <w:right w:val="none" w:sz="0" w:space="0" w:color="FFFFFF"/>
            </w:tcBorders>
            <w:shd w:val="clear" w:color="auto" w:fill="FFFFFF"/>
            <w:tcMar>
              <w:top w:w="80" w:type="dxa"/>
              <w:left w:w="100" w:type="dxa"/>
              <w:bottom w:w="80" w:type="dxa"/>
              <w:right w:w="100" w:type="dxa"/>
            </w:tcMar>
            <w:vAlign w:val="center"/>
          </w:tcPr>
          <w:p w14:paraId="3470E1DE" w14:textId="77777777" w:rsidR="00044CAC" w:rsidRDefault="00A20A4C">
            <w:r>
              <w:rPr>
                <w:b/>
                <w:bCs/>
              </w:rPr>
              <w:t xml:space="preserve">Campo</w:t>
            </w:r>
          </w:p>
        </w:tc>
        <w:tc>
          <w:tcPr>
            <w:tcW w:w="6600" w:type="dxa"/>
            <w:tcBorders>
              <w:top w:val="none" w:sz="0" w:space="0" w:color="FFFFFF"/>
              <w:left w:val="none" w:sz="0" w:space="0" w:color="FFFFFF"/>
              <w:bottom w:val="single" w:sz="12" w:space="0" w:color="000000"/>
              <w:right w:val="none" w:sz="0" w:space="0" w:color="FFFFFF"/>
            </w:tcBorders>
            <w:shd w:val="clear" w:color="auto" w:fill="FFFFFF"/>
            <w:tcMar>
              <w:top w:w="80" w:type="dxa"/>
              <w:left w:w="100" w:type="dxa"/>
              <w:bottom w:w="80" w:type="dxa"/>
              <w:right w:w="100" w:type="dxa"/>
            </w:tcMar>
            <w:vAlign w:val="center"/>
          </w:tcPr>
          <w:p w14:paraId="6995D411" w14:textId="77777777" w:rsidR="00044CAC" w:rsidRDefault="00A20A4C">
            <w:r>
              <w:rPr>
                <w:b/>
                <w:bCs/>
              </w:rPr>
              <w:t xml:space="preserve">Descrição</w:t>
            </w:r>
          </w:p>
        </w:tc>
      </w:tr>
      <w:tr w:rsidR="00044CAC" w14:paraId="74E8814A"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6D9137D7" w14:textId="77777777" w:rsidR="00044CAC" w:rsidRDefault="00A20A4C">
            <w:r>
              <w:rPr>
                <w:b w:val="false"/>
              </w:rPr>
              <w:t xml:space="preserve">Problema identificado</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771828F7" w14:textId="77777777" w:rsidR="00044CAC" w:rsidRDefault="00A20A4C">
            <w:r>
              <w:rPr>
                <w:b w:val="false"/>
              </w:rPr>
              <w:t xml:space="preserve">Valores do PIB de anos diferentes não são comparáveis em reais correntes.</w:t>
            </w:r>
          </w:p>
        </w:tc>
      </w:tr>
      <w:tr w:rsidR="00044CAC" w14:paraId="74E8814A"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6D9137D7" w14:textId="77777777" w:rsidR="00044CAC" w:rsidRDefault="00A20A4C">
            <w:r>
              <w:rPr>
                <w:b w:val="false"/>
              </w:rPr>
              <w:t xml:space="preserve">Decisão adotada</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771828F7" w14:textId="77777777" w:rsidR="00044CAC" w:rsidRDefault="00A20A4C">
            <w:r>
              <w:rPr>
                <w:b w:val="false"/>
              </w:rPr>
              <w:t xml:space="preserve">Valores corrigidos pelo IPCA para reais de 2023 (colunas *_real_2023).</w:t>
            </w:r>
          </w:p>
        </w:tc>
      </w:tr>
      <w:tr w:rsidR="00044CAC" w14:paraId="74E8814A"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6D9137D7" w14:textId="77777777" w:rsidR="00044CAC" w:rsidRDefault="00A20A4C">
            <w:r>
              <w:rPr>
                <w:b w:val="false"/>
              </w:rPr>
              <w:t xml:space="preserve">Justificativa</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771828F7" w14:textId="77777777" w:rsidR="00044CAC" w:rsidRDefault="00A20A4C">
            <w:r>
              <w:rPr>
                <w:b w:val="false"/>
              </w:rPr>
              <w:t xml:space="preserve">Permite comparar a evolução do PIB de 2002 a 2023 sem o efeito da inflação.</w:t>
            </w:r>
          </w:p>
        </w:tc>
      </w:tr>
      <w:tr w:rsidR="00044CAC" w14:paraId="74E8814A"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6D9137D7" w14:textId="77777777" w:rsidR="00044CAC" w:rsidRDefault="00A20A4C">
            <w:r>
              <w:rPr>
                <w:b w:val="false"/>
              </w:rPr>
              <w:t xml:space="preserve">Impacto</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771828F7" w14:textId="77777777" w:rsidR="00044CAC" w:rsidRDefault="00A20A4C">
            <w:r>
              <w:rPr>
                <w:b w:val="false"/>
              </w:rPr>
              <w:t xml:space="preserve">O crescimento mostrado é “deflacionado pelo IPCA”, não o PIB real oficial (o IBGE não publica volume para municípios); usar esse rótulo no painel.</w:t>
            </w:r>
          </w:p>
        </w:tc>
      </w:tr>
      <w:tr w:rsidR="00044CAC" w14:paraId="74E8814A"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6D9137D7" w14:textId="77777777" w:rsidR="00044CAC" w:rsidRDefault="00A20A4C">
            <w:r>
              <w:rPr>
                <w:b w:val="false"/>
              </w:rPr>
              <w:t xml:space="preserve">User Stories impactadas</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771828F7" w14:textId="77777777" w:rsidR="00044CAC" w:rsidRDefault="00A20A4C">
            <w:r>
              <w:rPr>
                <w:b w:val="false"/>
              </w:rPr>
              <w:t xml:space="preserve">US09</w:t>
            </w:r>
          </w:p>
        </w:tc>
      </w:tr>
      <w:tr w:rsidR="00044CAC" w14:paraId="74E8814A"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6D9137D7" w14:textId="77777777" w:rsidR="00044CAC" w:rsidRDefault="00A20A4C">
            <w:r>
              <w:rPr>
                <w:b w:val="false"/>
              </w:rPr>
              <w:t xml:space="preserve">Status</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771828F7" w14:textId="77777777" w:rsidR="00044CAC" w:rsidRDefault="00A20A4C">
            <w:r>
              <w:rPr>
                <w:b w:val="false"/>
              </w:rPr>
              <w:t xml:space="preserve">Fechada — registrada pela equipe no painel</w:t>
            </w:r>
          </w:p>
        </w:tc>
      </w:tr>
    </w:tbl>
    <w:p w14:paraId="5A742308" w14:textId="77777777" w:rsidR="00044CAC" w:rsidRDefault="00A20A4C">
      <w:pPr>
        <w:pStyle w:val="Ttulo3"/>
      </w:pPr>
      <w:r>
        <w:t xml:space="preserve">DEC-011 — Registros com indicador de RAIS negativa igual a 2</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600"/>
      </w:tblGrid>
      <w:tr w:rsidR="00044CAC" w14:paraId="33F588E3" w14:textId="77777777">
        <w:trPr>
          <w:tblHeader/>
        </w:trPr>
        <w:tc>
          <w:tcPr>
            <w:tcW w:w="2600" w:type="dxa"/>
            <w:tcBorders>
              <w:top w:val="none" w:sz="0" w:space="0" w:color="FFFFFF"/>
              <w:left w:val="none" w:sz="0" w:space="0" w:color="FFFFFF"/>
              <w:bottom w:val="single" w:sz="12" w:space="0" w:color="000000"/>
              <w:right w:val="none" w:sz="0" w:space="0" w:color="FFFFFF"/>
            </w:tcBorders>
            <w:shd w:val="clear" w:color="auto" w:fill="FFFFFF"/>
            <w:tcMar>
              <w:top w:w="80" w:type="dxa"/>
              <w:left w:w="100" w:type="dxa"/>
              <w:bottom w:w="80" w:type="dxa"/>
              <w:right w:w="100" w:type="dxa"/>
            </w:tcMar>
            <w:vAlign w:val="center"/>
          </w:tcPr>
          <w:p w14:paraId="3470E1DE" w14:textId="77777777" w:rsidR="00044CAC" w:rsidRDefault="00A20A4C">
            <w:r>
              <w:rPr>
                <w:b/>
                <w:bCs/>
              </w:rPr>
              <w:t xml:space="preserve">Campo</w:t>
            </w:r>
          </w:p>
        </w:tc>
        <w:tc>
          <w:tcPr>
            <w:tcW w:w="6600" w:type="dxa"/>
            <w:tcBorders>
              <w:top w:val="none" w:sz="0" w:space="0" w:color="FFFFFF"/>
              <w:left w:val="none" w:sz="0" w:space="0" w:color="FFFFFF"/>
              <w:bottom w:val="single" w:sz="12" w:space="0" w:color="000000"/>
              <w:right w:val="none" w:sz="0" w:space="0" w:color="FFFFFF"/>
            </w:tcBorders>
            <w:shd w:val="clear" w:color="auto" w:fill="FFFFFF"/>
            <w:tcMar>
              <w:top w:w="80" w:type="dxa"/>
              <w:left w:w="100" w:type="dxa"/>
              <w:bottom w:w="80" w:type="dxa"/>
              <w:right w:w="100" w:type="dxa"/>
            </w:tcMar>
            <w:vAlign w:val="center"/>
          </w:tcPr>
          <w:p w14:paraId="6995D411" w14:textId="77777777" w:rsidR="00044CAC" w:rsidRDefault="00A20A4C">
            <w:r>
              <w:rPr>
                <w:b/>
                <w:bCs/>
              </w:rPr>
              <w:t xml:space="preserve">Descrição</w:t>
            </w:r>
          </w:p>
        </w:tc>
      </w:tr>
      <w:tr w:rsidR="00044CAC" w14:paraId="74E8814A"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6D9137D7" w14:textId="77777777" w:rsidR="00044CAC" w:rsidRDefault="00A20A4C">
            <w:r>
              <w:rPr>
                <w:b w:val="false"/>
              </w:rPr>
              <w:t xml:space="preserve">Problema identificado</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771828F7" w14:textId="77777777" w:rsidR="00044CAC" w:rsidRDefault="00A20A4C">
            <w:r>
              <w:rPr>
                <w:b w:val="false"/>
              </w:rPr>
              <w:t xml:space="preserve">53 estabelecimentos têm Ind Rais Negativa = 2, valor que não consta do dicionário da RAIS (só 0 e 1). Todos têm 0 vínculos.</w:t>
            </w:r>
          </w:p>
        </w:tc>
      </w:tr>
      <w:tr w:rsidR="00044CAC" w14:paraId="74E8814A"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6D9137D7" w14:textId="77777777" w:rsidR="00044CAC" w:rsidRDefault="00A20A4C">
            <w:r>
              <w:rPr>
                <w:b w:val="false"/>
              </w:rPr>
              <w:t xml:space="preserve">Decisão adotada</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771828F7" w14:textId="77777777" w:rsidR="00044CAC" w:rsidRDefault="00A20A4C">
            <w:r>
              <w:rPr>
                <w:b w:val="false"/>
              </w:rPr>
              <w:t xml:space="preserve">Classificados como categoria própria (“Indicador 2 — não documentado”) e somados ao grupo “Sem vínculo” do painel.</w:t>
            </w:r>
          </w:p>
        </w:tc>
      </w:tr>
      <w:tr w:rsidR="00044CAC" w14:paraId="74E8814A"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6D9137D7" w14:textId="77777777" w:rsidR="00044CAC" w:rsidRDefault="00A20A4C">
            <w:r>
              <w:rPr>
                <w:b w:val="false"/>
              </w:rPr>
              <w:t xml:space="preserve">Justificativa</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771828F7" w14:textId="77777777" w:rsidR="00044CAC" w:rsidRDefault="00A20A4C">
            <w:r>
              <w:rPr>
                <w:b w:val="false"/>
              </w:rPr>
              <w:t xml:space="preserve">Não há vínculos nesses registros; mantê-los evita perda de dado e deixa o caso rastreável.</w:t>
            </w:r>
          </w:p>
        </w:tc>
      </w:tr>
      <w:tr w:rsidR="00044CAC" w14:paraId="74E8814A"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6D9137D7" w14:textId="77777777" w:rsidR="00044CAC" w:rsidRDefault="00A20A4C">
            <w:r>
              <w:rPr>
                <w:b w:val="false"/>
              </w:rPr>
              <w:t xml:space="preserve">Impacto</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771828F7" w14:textId="77777777" w:rsidR="00044CAC" w:rsidRDefault="00A20A4C">
            <w:r>
              <w:rPr>
                <w:b w:val="false"/>
              </w:rPr>
              <w:t xml:space="preserve">O painel passa a mostrar 16.816 estabelecimentos com vínculo e 30.523 sem vínculo (a DEC-001 citava 16.869 ativos, que incluíam esses 53).</w:t>
            </w:r>
          </w:p>
        </w:tc>
      </w:tr>
      <w:tr w:rsidR="00044CAC" w14:paraId="74E8814A"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6D9137D7" w14:textId="77777777" w:rsidR="00044CAC" w:rsidRDefault="00A20A4C">
            <w:r>
              <w:rPr>
                <w:b w:val="false"/>
              </w:rPr>
              <w:t xml:space="preserve">User Stories impactadas</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771828F7" w14:textId="77777777" w:rsidR="00044CAC" w:rsidRDefault="00A20A4C">
            <w:r>
              <w:rPr>
                <w:b w:val="false"/>
              </w:rPr>
              <w:t xml:space="preserve">US07, US08</w:t>
            </w:r>
          </w:p>
        </w:tc>
      </w:tr>
      <w:tr w:rsidR="00044CAC" w14:paraId="74E8814A"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6D9137D7" w14:textId="77777777" w:rsidR="00044CAC" w:rsidRDefault="00A20A4C">
            <w:r>
              <w:rPr>
                <w:b w:val="false"/>
              </w:rPr>
              <w:t xml:space="preserve">Status</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771828F7" w14:textId="77777777" w:rsidR="00044CAC" w:rsidRDefault="00A20A4C">
            <w:r>
              <w:rPr>
                <w:b w:val="false"/>
              </w:rPr>
              <w:t xml:space="preserve">Fechada — significado do valor 2 ainda a confirmar com o cliente</w:t>
            </w:r>
          </w:p>
        </w:tc>
      </w:tr>
    </w:tbl>
    <w:p w14:paraId="5A742308" w14:textId="77777777" w:rsidR="00044CAC" w:rsidRDefault="00A20A4C">
      <w:pPr>
        <w:pStyle w:val="Ttulo3"/>
      </w:pPr>
      <w:r>
        <w:t xml:space="preserve">DEC-013 — Administração pública fora do cruzamento com o PIB</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600"/>
      </w:tblGrid>
      <w:tr w:rsidR="00044CAC" w14:paraId="33F588E3" w14:textId="77777777">
        <w:trPr>
          <w:tblHeader/>
        </w:trPr>
        <w:tc>
          <w:tcPr>
            <w:tcW w:w="2600" w:type="dxa"/>
            <w:tcBorders>
              <w:top w:val="none" w:sz="0" w:space="0" w:color="FFFFFF"/>
              <w:left w:val="none" w:sz="0" w:space="0" w:color="FFFFFF"/>
              <w:bottom w:val="single" w:sz="12" w:space="0" w:color="000000"/>
              <w:right w:val="none" w:sz="0" w:space="0" w:color="FFFFFF"/>
            </w:tcBorders>
            <w:shd w:val="clear" w:color="auto" w:fill="FFFFFF"/>
            <w:tcMar>
              <w:top w:w="80" w:type="dxa"/>
              <w:left w:w="100" w:type="dxa"/>
              <w:bottom w:w="80" w:type="dxa"/>
              <w:right w:w="100" w:type="dxa"/>
            </w:tcMar>
            <w:vAlign w:val="center"/>
          </w:tcPr>
          <w:p w14:paraId="3470E1DE" w14:textId="77777777" w:rsidR="00044CAC" w:rsidRDefault="00A20A4C">
            <w:r>
              <w:rPr>
                <w:b/>
                <w:bCs/>
              </w:rPr>
              <w:t xml:space="preserve">Campo</w:t>
            </w:r>
          </w:p>
        </w:tc>
        <w:tc>
          <w:tcPr>
            <w:tcW w:w="6600" w:type="dxa"/>
            <w:tcBorders>
              <w:top w:val="none" w:sz="0" w:space="0" w:color="FFFFFF"/>
              <w:left w:val="none" w:sz="0" w:space="0" w:color="FFFFFF"/>
              <w:bottom w:val="single" w:sz="12" w:space="0" w:color="000000"/>
              <w:right w:val="none" w:sz="0" w:space="0" w:color="FFFFFF"/>
            </w:tcBorders>
            <w:shd w:val="clear" w:color="auto" w:fill="FFFFFF"/>
            <w:tcMar>
              <w:top w:w="80" w:type="dxa"/>
              <w:left w:w="100" w:type="dxa"/>
              <w:bottom w:w="80" w:type="dxa"/>
              <w:right w:w="100" w:type="dxa"/>
            </w:tcMar>
            <w:vAlign w:val="center"/>
          </w:tcPr>
          <w:p w14:paraId="6995D411" w14:textId="77777777" w:rsidR="00044CAC" w:rsidRDefault="00A20A4C">
            <w:r>
              <w:rPr>
                <w:b/>
                <w:bCs/>
              </w:rPr>
              <w:t xml:space="preserve">Descrição</w:t>
            </w:r>
          </w:p>
        </w:tc>
      </w:tr>
      <w:tr w:rsidR="00044CAC" w14:paraId="74E8814A"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6D9137D7" w14:textId="77777777" w:rsidR="00044CAC" w:rsidRDefault="00A20A4C">
            <w:r>
              <w:rPr>
                <w:b w:val="false"/>
              </w:rPr>
              <w:t xml:space="preserve">Problema identificado</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771828F7" w14:textId="77777777" w:rsidR="00044CAC" w:rsidRDefault="00A20A4C">
            <w:r>
              <w:rPr>
                <w:b w:val="false"/>
              </w:rPr>
              <w:t xml:space="preserve">A base RAIS do extrato não traz órgãos da administração pública (natureza jurídica 1xxx) e só 91 vínculos estatutários, enquanto o valor adicionado do IBGE inclui a administração pública.</w:t>
            </w:r>
          </w:p>
        </w:tc>
      </w:tr>
      <w:tr w:rsidR="00044CAC" w14:paraId="74E8814A"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6D9137D7" w14:textId="77777777" w:rsidR="00044CAC" w:rsidRDefault="00A20A4C">
            <w:r>
              <w:rPr>
                <w:b w:val="false"/>
              </w:rPr>
              <w:t xml:space="preserve">Decisão adotada</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771828F7" w14:textId="77777777" w:rsidR="00044CAC" w:rsidRDefault="00A20A4C">
            <w:r>
              <w:rPr>
                <w:b w:val="false"/>
              </w:rPr>
              <w:t xml:space="preserve">Excluir a administração pública do cruzamento RAIS × PIB; o cruzamento usa 204.331 vínculos (CNPJ, sem administração pública).</w:t>
            </w:r>
          </w:p>
        </w:tc>
      </w:tr>
      <w:tr w:rsidR="00044CAC" w14:paraId="74E8814A"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6D9137D7" w14:textId="77777777" w:rsidR="00044CAC" w:rsidRDefault="00A20A4C">
            <w:r>
              <w:rPr>
                <w:b w:val="false"/>
              </w:rPr>
              <w:t xml:space="preserve">Justificativa</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771828F7" w14:textId="77777777" w:rsidR="00044CAC" w:rsidRDefault="00A20A4C">
            <w:r>
              <w:rPr>
                <w:b w:val="false"/>
              </w:rPr>
              <w:t xml:space="preserve">Comparar apenas os setores privados presentes nas duas fontes.</w:t>
            </w:r>
          </w:p>
        </w:tc>
      </w:tr>
      <w:tr w:rsidR="00044CAC" w14:paraId="74E8814A"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6D9137D7" w14:textId="77777777" w:rsidR="00044CAC" w:rsidRDefault="00A20A4C">
            <w:r>
              <w:rPr>
                <w:b w:val="false"/>
              </w:rPr>
              <w:t xml:space="preserve">Impacto</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771828F7" w14:textId="77777777" w:rsidR="00044CAC" w:rsidRDefault="00A20A4C">
            <w:r>
              <w:rPr>
                <w:b w:val="false"/>
              </w:rPr>
              <w:t xml:space="preserve">O painel compara participação no emprego privado com participação no valor adicionado privado (produtividade relativa).</w:t>
            </w:r>
          </w:p>
        </w:tc>
      </w:tr>
      <w:tr w:rsidR="00044CAC" w14:paraId="74E8814A"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6D9137D7" w14:textId="77777777" w:rsidR="00044CAC" w:rsidRDefault="00A20A4C">
            <w:r>
              <w:rPr>
                <w:b w:val="false"/>
              </w:rPr>
              <w:t xml:space="preserve">User Stories impactadas</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771828F7" w14:textId="77777777" w:rsidR="00044CAC" w:rsidRDefault="00A20A4C">
            <w:r>
              <w:rPr>
                <w:b w:val="false"/>
              </w:rPr>
              <w:t xml:space="preserve">US09</w:t>
            </w:r>
          </w:p>
        </w:tc>
      </w:tr>
      <w:tr w:rsidR="00044CAC" w14:paraId="74E8814A"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6D9137D7" w14:textId="77777777" w:rsidR="00044CAC" w:rsidRDefault="00A20A4C">
            <w:r>
              <w:rPr>
                <w:b w:val="false"/>
              </w:rPr>
              <w:t xml:space="preserve">Status</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771828F7" w14:textId="77777777" w:rsidR="00044CAC" w:rsidRDefault="00A20A4C">
            <w:r>
              <w:rPr>
                <w:b w:val="false"/>
              </w:rPr>
              <w:t xml:space="preserve">Fechada — registrada pela equipe no painel</w:t>
            </w:r>
          </w:p>
        </w:tc>
      </w:tr>
    </w:tbl>
    <w:p w14:paraId="5A742308" w14:textId="77777777" w:rsidR="00044CAC" w:rsidRDefault="00A20A4C">
      <w:pPr>
        <w:pStyle w:val="Ttulo3"/>
      </w:pPr>
      <w:r>
        <w:t xml:space="preserve">DEC-014 — Setores classificados pela Seção CNAE 2.0</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600"/>
      </w:tblGrid>
      <w:tr w:rsidR="00044CAC" w14:paraId="33F588E3" w14:textId="77777777">
        <w:trPr>
          <w:tblHeader/>
        </w:trPr>
        <w:tc>
          <w:tcPr>
            <w:tcW w:w="2600" w:type="dxa"/>
            <w:tcBorders>
              <w:top w:val="none" w:sz="0" w:space="0" w:color="FFFFFF"/>
              <w:left w:val="none" w:sz="0" w:space="0" w:color="FFFFFF"/>
              <w:bottom w:val="single" w:sz="12" w:space="0" w:color="000000"/>
              <w:right w:val="none" w:sz="0" w:space="0" w:color="FFFFFF"/>
            </w:tcBorders>
            <w:shd w:val="clear" w:color="auto" w:fill="FFFFFF"/>
            <w:tcMar>
              <w:top w:w="80" w:type="dxa"/>
              <w:left w:w="100" w:type="dxa"/>
              <w:bottom w:w="80" w:type="dxa"/>
              <w:right w:w="100" w:type="dxa"/>
            </w:tcMar>
            <w:vAlign w:val="center"/>
          </w:tcPr>
          <w:p w14:paraId="3470E1DE" w14:textId="77777777" w:rsidR="00044CAC" w:rsidRDefault="00A20A4C">
            <w:r>
              <w:rPr>
                <w:b/>
                <w:bCs/>
              </w:rPr>
              <w:t xml:space="preserve">Campo</w:t>
            </w:r>
          </w:p>
        </w:tc>
        <w:tc>
          <w:tcPr>
            <w:tcW w:w="6600" w:type="dxa"/>
            <w:tcBorders>
              <w:top w:val="none" w:sz="0" w:space="0" w:color="FFFFFF"/>
              <w:left w:val="none" w:sz="0" w:space="0" w:color="FFFFFF"/>
              <w:bottom w:val="single" w:sz="12" w:space="0" w:color="000000"/>
              <w:right w:val="none" w:sz="0" w:space="0" w:color="FFFFFF"/>
            </w:tcBorders>
            <w:shd w:val="clear" w:color="auto" w:fill="FFFFFF"/>
            <w:tcMar>
              <w:top w:w="80" w:type="dxa"/>
              <w:left w:w="100" w:type="dxa"/>
              <w:bottom w:w="80" w:type="dxa"/>
              <w:right w:w="100" w:type="dxa"/>
            </w:tcMar>
            <w:vAlign w:val="center"/>
          </w:tcPr>
          <w:p w14:paraId="6995D411" w14:textId="77777777" w:rsidR="00044CAC" w:rsidRDefault="00A20A4C">
            <w:r>
              <w:rPr>
                <w:b/>
                <w:bCs/>
              </w:rPr>
              <w:t xml:space="preserve">Descrição</w:t>
            </w:r>
          </w:p>
        </w:tc>
      </w:tr>
      <w:tr w:rsidR="00044CAC" w14:paraId="74E8814A"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6D9137D7" w14:textId="77777777" w:rsidR="00044CAC" w:rsidRDefault="00A20A4C">
            <w:r>
              <w:rPr>
                <w:b w:val="false"/>
              </w:rPr>
              <w:t xml:space="preserve">Problema identificado</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771828F7" w14:textId="77777777" w:rsidR="00044CAC" w:rsidRDefault="00A20A4C">
            <w:r>
              <w:rPr>
                <w:b w:val="false"/>
              </w:rPr>
              <w:t xml:space="preserve">Era preciso um nível único de agregação para setores no painel e no cruzamento com o IBGE.</w:t>
            </w:r>
          </w:p>
        </w:tc>
      </w:tr>
      <w:tr w:rsidR="00044CAC" w14:paraId="74E8814A"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6D9137D7" w14:textId="77777777" w:rsidR="00044CAC" w:rsidRDefault="00A20A4C">
            <w:r>
              <w:rPr>
                <w:b w:val="false"/>
              </w:rPr>
              <w:t xml:space="preserve">Decisão adotada</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771828F7" w14:textId="77777777" w:rsidR="00044CAC" w:rsidRDefault="00A20A4C">
            <w:r>
              <w:rPr>
                <w:b w:val="false"/>
              </w:rPr>
              <w:t xml:space="preserve">Usar a Seção CNAE 2.0 (21 seções, letra + nome oficial do IBGE) como “setor” padrão do painel.</w:t>
            </w:r>
          </w:p>
        </w:tc>
      </w:tr>
      <w:tr w:rsidR="00044CAC" w14:paraId="74E8814A"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6D9137D7" w14:textId="77777777" w:rsidR="00044CAC" w:rsidRDefault="00A20A4C">
            <w:r>
              <w:rPr>
                <w:b w:val="false"/>
              </w:rPr>
              <w:t xml:space="preserve">Justificativa</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771828F7" w14:textId="77777777" w:rsidR="00044CAC" w:rsidRDefault="00A20A4C">
            <w:r>
              <w:rPr>
                <w:b w:val="false"/>
              </w:rPr>
              <w:t xml:space="preserve">É o mesmo padrão usado pelo IBGE e permite ligar RAIS e PIB por setor.</w:t>
            </w:r>
          </w:p>
        </w:tc>
      </w:tr>
      <w:tr w:rsidR="00044CAC" w14:paraId="74E8814A"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6D9137D7" w14:textId="77777777" w:rsidR="00044CAC" w:rsidRDefault="00A20A4C">
            <w:r>
              <w:rPr>
                <w:b w:val="false"/>
              </w:rPr>
              <w:t xml:space="preserve">Impacto</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771828F7" w14:textId="77777777" w:rsidR="00044CAC" w:rsidRDefault="00A20A4C">
            <w:r>
              <w:rPr>
                <w:b w:val="false"/>
              </w:rPr>
              <w:t xml:space="preserve">Visuais de setor e filtros usam a coluna Seção CNAE; divisões, grupos e classes ficam para detalhamento.</w:t>
            </w:r>
          </w:p>
        </w:tc>
      </w:tr>
      <w:tr w:rsidR="00044CAC" w14:paraId="74E8814A"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6D9137D7" w14:textId="77777777" w:rsidR="00044CAC" w:rsidRDefault="00A20A4C">
            <w:r>
              <w:rPr>
                <w:b w:val="false"/>
              </w:rPr>
              <w:t xml:space="preserve">User Stories impactadas</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771828F7" w14:textId="77777777" w:rsidR="00044CAC" w:rsidRDefault="00A20A4C">
            <w:r>
              <w:rPr>
                <w:b w:val="false"/>
              </w:rPr>
              <w:t xml:space="preserve">US07, US08, US09</w:t>
            </w:r>
          </w:p>
        </w:tc>
      </w:tr>
      <w:tr w:rsidR="00044CAC" w14:paraId="74E8814A"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6D9137D7" w14:textId="77777777" w:rsidR="00044CAC" w:rsidRDefault="00A20A4C">
            <w:r>
              <w:rPr>
                <w:b w:val="false"/>
              </w:rPr>
              <w:t xml:space="preserve">Status</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771828F7" w14:textId="77777777" w:rsidR="00044CAC" w:rsidRDefault="00A20A4C">
            <w:r>
              <w:rPr>
                <w:b w:val="false"/>
              </w:rPr>
              <w:t xml:space="preserve">Fechada — registrada pela equipe no painel</w:t>
            </w:r>
          </w:p>
        </w:tc>
      </w:tr>
    </w:tbl>
    <w:p w14:paraId="5A742308" w14:textId="77777777" w:rsidR="00044CAC" w:rsidRDefault="00A20A4C">
      <w:pPr>
        <w:pStyle w:val="Ttulo3"/>
      </w:pPr>
      <w:r>
        <w:t xml:space="preserve">DEC-015 — Classificação dos estabelecimentos pela região oficial do município</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600"/>
      </w:tblGrid>
      <w:tr w:rsidR="00044CAC" w14:paraId="33F588E3" w14:textId="77777777">
        <w:trPr>
          <w:tblHeader/>
        </w:trPr>
        <w:tc>
          <w:tcPr>
            <w:tcW w:w="2600" w:type="dxa"/>
            <w:tcBorders>
              <w:top w:val="none" w:sz="0" w:space="0" w:color="FFFFFF"/>
              <w:left w:val="none" w:sz="0" w:space="0" w:color="FFFFFF"/>
              <w:bottom w:val="single" w:sz="12" w:space="0" w:color="000000"/>
              <w:right w:val="none" w:sz="0" w:space="0" w:color="FFFFFF"/>
            </w:tcBorders>
            <w:shd w:val="clear" w:color="auto" w:fill="FFFFFF"/>
            <w:tcMar>
              <w:top w:w="80" w:type="dxa"/>
              <w:left w:w="100" w:type="dxa"/>
              <w:bottom w:w="80" w:type="dxa"/>
              <w:right w:w="100" w:type="dxa"/>
            </w:tcMar>
            <w:vAlign w:val="center"/>
          </w:tcPr>
          <w:p w14:paraId="3470E1DE" w14:textId="77777777" w:rsidR="00044CAC" w:rsidRDefault="00A20A4C">
            <w:r>
              <w:rPr>
                <w:b/>
                <w:bCs/>
              </w:rPr>
              <w:t xml:space="preserve">Campo</w:t>
            </w:r>
          </w:p>
        </w:tc>
        <w:tc>
          <w:tcPr>
            <w:tcW w:w="6600" w:type="dxa"/>
            <w:tcBorders>
              <w:top w:val="none" w:sz="0" w:space="0" w:color="FFFFFF"/>
              <w:left w:val="none" w:sz="0" w:space="0" w:color="FFFFFF"/>
              <w:bottom w:val="single" w:sz="12" w:space="0" w:color="000000"/>
              <w:right w:val="none" w:sz="0" w:space="0" w:color="FFFFFF"/>
            </w:tcBorders>
            <w:shd w:val="clear" w:color="auto" w:fill="FFFFFF"/>
            <w:tcMar>
              <w:top w:w="80" w:type="dxa"/>
              <w:left w:w="100" w:type="dxa"/>
              <w:bottom w:w="80" w:type="dxa"/>
              <w:right w:w="100" w:type="dxa"/>
            </w:tcMar>
            <w:vAlign w:val="center"/>
          </w:tcPr>
          <w:p w14:paraId="6995D411" w14:textId="77777777" w:rsidR="00044CAC" w:rsidRDefault="00A20A4C">
            <w:r>
              <w:rPr>
                <w:b/>
                <w:bCs/>
              </w:rPr>
              <w:t xml:space="preserve">Descrição</w:t>
            </w:r>
          </w:p>
        </w:tc>
      </w:tr>
      <w:tr w:rsidR="00044CAC" w14:paraId="74E8814A"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6D9137D7" w14:textId="77777777" w:rsidR="00044CAC" w:rsidRDefault="00A20A4C">
            <w:r>
              <w:rPr>
                <w:b w:val="false"/>
              </w:rPr>
              <w:t xml:space="preserve">Problema identificado</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771828F7" w14:textId="77777777" w:rsidR="00044CAC" w:rsidRDefault="00A20A4C">
            <w:r>
              <w:rPr>
                <w:b w:val="false"/>
              </w:rPr>
              <w:t xml:space="preserve">Nenhum arquivo do projeto trazia a região oficial de São José dos Campos (Centro, Norte, Sul, Leste, Oeste, Sudeste, São Francisco Xavier e área rural).</w:t>
            </w:r>
          </w:p>
        </w:tc>
      </w:tr>
      <w:tr w:rsidR="00044CAC" w14:paraId="74E8814A"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6D9137D7" w14:textId="77777777" w:rsidR="00044CAC" w:rsidRDefault="00A20A4C">
            <w:r>
              <w:rPr>
                <w:b w:val="false"/>
              </w:rPr>
              <w:t xml:space="preserve">Decisão adotada</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771828F7" w14:textId="77777777" w:rsidR="00044CAC" w:rsidRDefault="00A20A4C">
            <w:r>
              <w:rPr>
                <w:b w:val="false"/>
              </w:rPr>
              <w:t xml:space="preserve">Atribuir a região pelo bairro de cada CEP, usando a lista de bairros por região do Plano Diretor da Prefeitura (2018). Os bairros da Região Norte, ausentes do PDF oficial, vêm de lista secundária; bairros ambíguos ou fora das listas recebem a região predominante do setor do CEP (5 dígitos). A coluna Confiabilidade Região indica Alta, Média ou Baixa.</w:t>
            </w:r>
          </w:p>
        </w:tc>
      </w:tr>
      <w:tr w:rsidR="00044CAC" w14:paraId="74E8814A"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6D9137D7" w14:textId="77777777" w:rsidR="00044CAC" w:rsidRDefault="00A20A4C">
            <w:r>
              <w:rPr>
                <w:b w:val="false"/>
              </w:rPr>
              <w:t xml:space="preserve">Justificativa</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771828F7" w14:textId="77777777" w:rsidR="00044CAC" w:rsidRDefault="00A20A4C">
            <w:r>
              <w:rPr>
                <w:b w:val="false"/>
              </w:rPr>
              <w:t xml:space="preserve">É a divisão usada pela Prefeitura (inclusive na divulgação do Censo 2022). A validação mostrou que 33 dos 37 setores de CEP caem inteiros numa só região (os outros 4 estão na divisa Centro–Oeste ou misturam área urbana e rural).</w:t>
            </w:r>
          </w:p>
        </w:tc>
      </w:tr>
      <w:tr w:rsidR="00044CAC" w14:paraId="74E8814A"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6D9137D7" w14:textId="77777777" w:rsidR="00044CAC" w:rsidRDefault="00A20A4C">
            <w:r>
              <w:rPr>
                <w:b w:val="false"/>
              </w:rPr>
              <w:t xml:space="preserve">Impacto</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771828F7" w14:textId="77777777" w:rsidR="00044CAC" w:rsidRDefault="00A20A4C">
            <w:r>
              <w:rPr>
                <w:b w:val="false"/>
              </w:rPr>
              <w:t xml:space="preserve">99,99% dos estabelecimentos com região (85% confiabilidade Alta, 13,4% Média, 1,6% Baixa); 5 sem região (CEP geral 12200-000 ou sem CEP).</w:t>
            </w:r>
          </w:p>
        </w:tc>
      </w:tr>
      <w:tr w:rsidR="00044CAC" w14:paraId="74E8814A"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6D9137D7" w14:textId="77777777" w:rsidR="00044CAC" w:rsidRDefault="00A20A4C">
            <w:r>
              <w:rPr>
                <w:b w:val="false"/>
              </w:rPr>
              <w:t xml:space="preserve">User Stories impactadas</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771828F7" w14:textId="77777777" w:rsidR="00044CAC" w:rsidRDefault="00A20A4C">
            <w:r>
              <w:rPr>
                <w:b w:val="false"/>
              </w:rPr>
              <w:t xml:space="preserve">US06</w:t>
            </w:r>
          </w:p>
        </w:tc>
      </w:tr>
      <w:tr w:rsidR="00044CAC" w14:paraId="74E8814A"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6D9137D7" w14:textId="77777777" w:rsidR="00044CAC" w:rsidRDefault="00A20A4C">
            <w:r>
              <w:rPr>
                <w:b w:val="false"/>
              </w:rPr>
              <w:t xml:space="preserve">Status</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771828F7" w14:textId="77777777" w:rsidR="00044CAC" w:rsidRDefault="00A20A4C">
            <w:r>
              <w:rPr>
                <w:b w:val="false"/>
              </w:rPr>
              <w:t xml:space="preserve">Aberta — aguardando do cliente a tabela oficial bairro → região (com a Região Norte) ou o shapefile das regiões</w:t>
            </w:r>
          </w:p>
        </w:tc>
      </w:tr>
    </w:tbl>
    <w:p w14:paraId="5A742308" w14:textId="77777777" w:rsidR="00044CAC" w:rsidRDefault="00A20A4C">
      <w:pPr>
        <w:pStyle w:val="Ttulo3"/>
      </w:pPr>
      <w:r>
        <w:t xml:space="preserve">DEC-016 — Coordenadas corrompidas no arquivo de CEPs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600"/>
      </w:tblGrid>
      <w:tr w:rsidR="00044CAC" w14:paraId="33F588E3" w14:textId="77777777">
        <w:trPr>
          <w:tblHeader/>
        </w:trPr>
        <w:tc>
          <w:tcPr>
            <w:tcW w:w="2600" w:type="dxa"/>
            <w:tcBorders>
              <w:top w:val="none" w:sz="0" w:space="0" w:color="FFFFFF"/>
              <w:left w:val="none" w:sz="0" w:space="0" w:color="FFFFFF"/>
              <w:bottom w:val="single" w:sz="12" w:space="0" w:color="000000"/>
              <w:right w:val="none" w:sz="0" w:space="0" w:color="FFFFFF"/>
            </w:tcBorders>
            <w:shd w:val="clear" w:color="auto" w:fill="FFFFFF"/>
            <w:tcMar>
              <w:top w:w="80" w:type="dxa"/>
              <w:left w:w="100" w:type="dxa"/>
              <w:bottom w:w="80" w:type="dxa"/>
              <w:right w:w="100" w:type="dxa"/>
            </w:tcMar>
            <w:vAlign w:val="center"/>
          </w:tcPr>
          <w:p w14:paraId="3470E1DE" w14:textId="77777777" w:rsidR="00044CAC" w:rsidRDefault="00A20A4C">
            <w:r>
              <w:rPr>
                <w:b/>
                <w:bCs/>
              </w:rPr>
              <w:t xml:space="preserve">Campo</w:t>
            </w:r>
          </w:p>
        </w:tc>
        <w:tc>
          <w:tcPr>
            <w:tcW w:w="6600" w:type="dxa"/>
            <w:tcBorders>
              <w:top w:val="none" w:sz="0" w:space="0" w:color="FFFFFF"/>
              <w:left w:val="none" w:sz="0" w:space="0" w:color="FFFFFF"/>
              <w:bottom w:val="single" w:sz="12" w:space="0" w:color="000000"/>
              <w:right w:val="none" w:sz="0" w:space="0" w:color="FFFFFF"/>
            </w:tcBorders>
            <w:shd w:val="clear" w:color="auto" w:fill="FFFFFF"/>
            <w:tcMar>
              <w:top w:w="80" w:type="dxa"/>
              <w:left w:w="100" w:type="dxa"/>
              <w:bottom w:w="80" w:type="dxa"/>
              <w:right w:w="100" w:type="dxa"/>
            </w:tcMar>
            <w:vAlign w:val="center"/>
          </w:tcPr>
          <w:p w14:paraId="6995D411" w14:textId="77777777" w:rsidR="00044CAC" w:rsidRDefault="00A20A4C">
            <w:r>
              <w:rPr>
                <w:b/>
                <w:bCs/>
              </w:rPr>
              <w:t xml:space="preserve">Descrição</w:t>
            </w:r>
          </w:p>
        </w:tc>
      </w:tr>
      <w:tr w:rsidR="00044CAC" w14:paraId="74E8814A"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6D9137D7" w14:textId="77777777" w:rsidR="00044CAC" w:rsidRDefault="00A20A4C">
            <w:r>
              <w:rPr>
                <w:b w:val="false"/>
              </w:rPr>
              <w:t xml:space="preserve">Problema identificado</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771828F7" w14:textId="77777777" w:rsidR="00044CAC" w:rsidRDefault="00A20A4C">
            <w:r>
              <w:rPr>
                <w:b w:val="false"/>
              </w:rPr>
              <w:t xml:space="preserve">No arquivo ceps_sjc_geo_v2, todas as coordenadas perderam o ponto decimal (ex.: -23.1772612 virou -231.772.612), efeito de salvar o CSV no Excel em português.</w:t>
            </w:r>
          </w:p>
        </w:tc>
      </w:tr>
      <w:tr w:rsidR="00044CAC" w14:paraId="74E8814A"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6D9137D7" w14:textId="77777777" w:rsidR="00044CAC" w:rsidRDefault="00A20A4C">
            <w:r>
              <w:rPr>
                <w:b w:val="false"/>
              </w:rPr>
              <w:t xml:space="preserve">Decisão adotada</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771828F7" w14:textId="77777777" w:rsidR="00044CAC" w:rsidRDefault="00A20A4C">
            <w:r>
              <w:rPr>
                <w:b w:val="false"/>
              </w:rPr>
              <w:t xml:space="preserve">Não usar as coordenadas desse arquivo; usar as do rais_sjc_geo_v2, que estão corretas. Gravar os CSVs com ponto decimal e importar no Power BI com a localidade “Inglês (EUA)”.</w:t>
            </w:r>
          </w:p>
        </w:tc>
      </w:tr>
      <w:tr w:rsidR="00044CAC" w14:paraId="74E8814A"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6D9137D7" w14:textId="77777777" w:rsidR="00044CAC" w:rsidRDefault="00A20A4C">
            <w:r>
              <w:rPr>
                <w:b w:val="false"/>
              </w:rPr>
              <w:t xml:space="preserve">Justificativa</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771828F7" w14:textId="77777777" w:rsidR="00044CAC" w:rsidRDefault="00A20A4C">
            <w:r>
              <w:rPr>
                <w:b w:val="false"/>
              </w:rPr>
              <w:t xml:space="preserve">Coordenadas corrompidas colocariam todos os pontos fora do mapa.</w:t>
            </w:r>
          </w:p>
        </w:tc>
      </w:tr>
      <w:tr w:rsidR="00044CAC" w14:paraId="74E8814A"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6D9137D7" w14:textId="77777777" w:rsidR="00044CAC" w:rsidRDefault="00A20A4C">
            <w:r>
              <w:rPr>
                <w:b w:val="false"/>
              </w:rPr>
              <w:t xml:space="preserve">Impacto</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771828F7" w14:textId="77777777" w:rsidR="00044CAC" w:rsidRDefault="00A20A4C">
            <w:r>
              <w:rPr>
                <w:b w:val="false"/>
              </w:rPr>
              <w:t xml:space="preserve">Nenhuma perda: o mesmo CEP tem a coordenada correta no outro arquivo.</w:t>
            </w:r>
          </w:p>
        </w:tc>
      </w:tr>
      <w:tr w:rsidR="00044CAC" w14:paraId="74E8814A"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6D9137D7" w14:textId="77777777" w:rsidR="00044CAC" w:rsidRDefault="00A20A4C">
            <w:r>
              <w:rPr>
                <w:b w:val="false"/>
              </w:rPr>
              <w:t xml:space="preserve">User Stories impactadas</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771828F7" w14:textId="77777777" w:rsidR="00044CAC" w:rsidRDefault="00A20A4C">
            <w:r>
              <w:rPr>
                <w:b w:val="false"/>
              </w:rPr>
              <w:t xml:space="preserve">US06</w:t>
            </w:r>
          </w:p>
        </w:tc>
      </w:tr>
      <w:tr w:rsidR="00044CAC" w14:paraId="74E8814A"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6D9137D7" w14:textId="77777777" w:rsidR="00044CAC" w:rsidRDefault="00A20A4C">
            <w:r>
              <w:rPr>
                <w:b w:val="false"/>
              </w:rPr>
              <w:t xml:space="preserve">Status</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771828F7" w14:textId="77777777" w:rsidR="00044CAC" w:rsidRDefault="00A20A4C">
            <w:r>
              <w:rPr>
                <w:b w:val="false"/>
              </w:rPr>
              <w:t xml:space="preserve">Fechada</w:t>
            </w:r>
          </w:p>
        </w:tc>
      </w:tr>
    </w:tbl>
    <w:p w14:paraId="5A742308" w14:textId="77777777" w:rsidR="00044CAC" w:rsidRDefault="00A20A4C">
      <w:pPr>
        <w:pStyle w:val="Ttulo3"/>
      </w:pPr>
      <w:r>
        <w:t xml:space="preserve">DEC-017 — Pontos de bairro geocodificados em homônimos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600"/>
      </w:tblGrid>
      <w:tr w:rsidR="00044CAC" w14:paraId="33F588E3" w14:textId="77777777">
        <w:trPr>
          <w:tblHeader/>
        </w:trPr>
        <w:tc>
          <w:tcPr>
            <w:tcW w:w="2600" w:type="dxa"/>
            <w:tcBorders>
              <w:top w:val="none" w:sz="0" w:space="0" w:color="FFFFFF"/>
              <w:left w:val="none" w:sz="0" w:space="0" w:color="FFFFFF"/>
              <w:bottom w:val="single" w:sz="12" w:space="0" w:color="000000"/>
              <w:right w:val="none" w:sz="0" w:space="0" w:color="FFFFFF"/>
            </w:tcBorders>
            <w:shd w:val="clear" w:color="auto" w:fill="FFFFFF"/>
            <w:tcMar>
              <w:top w:w="80" w:type="dxa"/>
              <w:left w:w="100" w:type="dxa"/>
              <w:bottom w:w="80" w:type="dxa"/>
              <w:right w:w="100" w:type="dxa"/>
            </w:tcMar>
            <w:vAlign w:val="center"/>
          </w:tcPr>
          <w:p w14:paraId="3470E1DE" w14:textId="77777777" w:rsidR="00044CAC" w:rsidRDefault="00A20A4C">
            <w:r>
              <w:rPr>
                <w:b/>
                <w:bCs/>
              </w:rPr>
              <w:t xml:space="preserve">Campo</w:t>
            </w:r>
          </w:p>
        </w:tc>
        <w:tc>
          <w:tcPr>
            <w:tcW w:w="6600" w:type="dxa"/>
            <w:tcBorders>
              <w:top w:val="none" w:sz="0" w:space="0" w:color="FFFFFF"/>
              <w:left w:val="none" w:sz="0" w:space="0" w:color="FFFFFF"/>
              <w:bottom w:val="single" w:sz="12" w:space="0" w:color="000000"/>
              <w:right w:val="none" w:sz="0" w:space="0" w:color="FFFFFF"/>
            </w:tcBorders>
            <w:shd w:val="clear" w:color="auto" w:fill="FFFFFF"/>
            <w:tcMar>
              <w:top w:w="80" w:type="dxa"/>
              <w:left w:w="100" w:type="dxa"/>
              <w:bottom w:w="80" w:type="dxa"/>
              <w:right w:w="100" w:type="dxa"/>
            </w:tcMar>
            <w:vAlign w:val="center"/>
          </w:tcPr>
          <w:p w14:paraId="6995D411" w14:textId="77777777" w:rsidR="00044CAC" w:rsidRDefault="00A20A4C">
            <w:r>
              <w:rPr>
                <w:b/>
                <w:bCs/>
              </w:rPr>
              <w:t xml:space="preserve">Descrição</w:t>
            </w:r>
          </w:p>
        </w:tc>
      </w:tr>
      <w:tr w:rsidR="00044CAC" w14:paraId="74E8814A"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6D9137D7" w14:textId="77777777" w:rsidR="00044CAC" w:rsidRDefault="00A20A4C">
            <w:r>
              <w:rPr>
                <w:b w:val="false"/>
              </w:rPr>
              <w:t xml:space="preserve">Problema identificado</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771828F7" w14:textId="77777777" w:rsidR="00044CAC" w:rsidRDefault="00A20A4C">
            <w:r>
              <w:rPr>
                <w:b w:val="false"/>
              </w:rPr>
              <w:t xml:space="preserve">Nove bairros foram geocodificados num bairro de mesmo nome em outra parte da cidade (ex.: Jardim Paraíso, Sul, posto em Jardim Paraíso do Sol, Leste), afetando 331 estabelecimentos.</w:t>
            </w:r>
          </w:p>
        </w:tc>
      </w:tr>
      <w:tr w:rsidR="00044CAC" w14:paraId="74E8814A"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6D9137D7" w14:textId="77777777" w:rsidR="00044CAC" w:rsidRDefault="00A20A4C">
            <w:r>
              <w:rPr>
                <w:b w:val="false"/>
              </w:rPr>
              <w:t xml:space="preserve">Decisão adotada</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771828F7" w14:textId="77777777" w:rsidR="00044CAC" w:rsidRDefault="00A20A4C">
            <w:r>
              <w:rPr>
                <w:b w:val="false"/>
              </w:rPr>
              <w:t xml:space="preserve">Manter a região pela lista oficial e marcar esses pontos na coluna Alerta Coordenada; o mapa filtra esses pontos até a correção.</w:t>
            </w:r>
          </w:p>
        </w:tc>
      </w:tr>
      <w:tr w:rsidR="00044CAC" w14:paraId="74E8814A"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6D9137D7" w14:textId="77777777" w:rsidR="00044CAC" w:rsidRDefault="00A20A4C">
            <w:r>
              <w:rPr>
                <w:b w:val="false"/>
              </w:rPr>
              <w:t xml:space="preserve">Justificativa</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771828F7" w14:textId="77777777" w:rsidR="00044CAC" w:rsidRDefault="00A20A4C">
            <w:r>
              <w:rPr>
                <w:b w:val="false"/>
              </w:rPr>
              <w:t xml:space="preserve">A região está certa (confirmada pelo setor do CEP); só o ponto precisa ser refeito.</w:t>
            </w:r>
          </w:p>
        </w:tc>
      </w:tr>
      <w:tr w:rsidR="00044CAC" w14:paraId="74E8814A"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6D9137D7" w14:textId="77777777" w:rsidR="00044CAC" w:rsidRDefault="00A20A4C">
            <w:r>
              <w:rPr>
                <w:b w:val="false"/>
              </w:rPr>
              <w:t xml:space="preserve">Impacto</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771828F7" w14:textId="77777777" w:rsidR="00044CAC" w:rsidRDefault="00A20A4C">
            <w:r>
              <w:rPr>
                <w:b w:val="false"/>
              </w:rPr>
              <w:t xml:space="preserve">331 estabelecimentos fora do mapa de pontos, mas presentes nos gráficos por região.</w:t>
            </w:r>
          </w:p>
        </w:tc>
      </w:tr>
      <w:tr w:rsidR="00044CAC" w14:paraId="74E8814A"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6D9137D7" w14:textId="77777777" w:rsidR="00044CAC" w:rsidRDefault="00A20A4C">
            <w:r>
              <w:rPr>
                <w:b w:val="false"/>
              </w:rPr>
              <w:t xml:space="preserve">User Stories impactadas</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771828F7" w14:textId="77777777" w:rsidR="00044CAC" w:rsidRDefault="00A20A4C">
            <w:r>
              <w:rPr>
                <w:b w:val="false"/>
              </w:rPr>
              <w:t xml:space="preserve">US06</w:t>
            </w:r>
          </w:p>
        </w:tc>
      </w:tr>
      <w:tr w:rsidR="00044CAC" w14:paraId="74E8814A"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6D9137D7" w14:textId="77777777" w:rsidR="00044CAC" w:rsidRDefault="00A20A4C">
            <w:r>
              <w:rPr>
                <w:b w:val="false"/>
              </w:rPr>
              <w:t xml:space="preserve">Status</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771828F7" w14:textId="77777777" w:rsidR="00044CAC" w:rsidRDefault="00A20A4C">
            <w:r>
              <w:rPr>
                <w:b w:val="false"/>
              </w:rPr>
              <w:t xml:space="preserve">Aberta — regeocodificar os 9 bairros na Sprint 3</w:t>
            </w:r>
          </w:p>
        </w:tc>
      </w:tr>
    </w:tbl>
    <w:p w14:paraId="5A742308" w14:textId="77777777" w:rsidR="00044CAC" w:rsidRDefault="00A20A4C">
      <w:pPr>
        <w:pStyle w:val="Ttulo3"/>
      </w:pPr>
      <w:r>
        <w:t xml:space="preserve">DEC-018 — CEPs genéricos e sem localização</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600"/>
      </w:tblGrid>
      <w:tr w:rsidR="00044CAC" w14:paraId="33F588E3" w14:textId="77777777">
        <w:trPr>
          <w:tblHeader/>
        </w:trPr>
        <w:tc>
          <w:tcPr>
            <w:tcW w:w="2600" w:type="dxa"/>
            <w:tcBorders>
              <w:top w:val="none" w:sz="0" w:space="0" w:color="FFFFFF"/>
              <w:left w:val="none" w:sz="0" w:space="0" w:color="FFFFFF"/>
              <w:bottom w:val="single" w:sz="12" w:space="0" w:color="000000"/>
              <w:right w:val="none" w:sz="0" w:space="0" w:color="FFFFFF"/>
            </w:tcBorders>
            <w:shd w:val="clear" w:color="auto" w:fill="FFFFFF"/>
            <w:tcMar>
              <w:top w:w="80" w:type="dxa"/>
              <w:left w:w="100" w:type="dxa"/>
              <w:bottom w:w="80" w:type="dxa"/>
              <w:right w:w="100" w:type="dxa"/>
            </w:tcMar>
            <w:vAlign w:val="center"/>
          </w:tcPr>
          <w:p w14:paraId="3470E1DE" w14:textId="77777777" w:rsidR="00044CAC" w:rsidRDefault="00A20A4C">
            <w:r>
              <w:rPr>
                <w:b/>
                <w:bCs/>
              </w:rPr>
              <w:t xml:space="preserve">Campo</w:t>
            </w:r>
          </w:p>
        </w:tc>
        <w:tc>
          <w:tcPr>
            <w:tcW w:w="6600" w:type="dxa"/>
            <w:tcBorders>
              <w:top w:val="none" w:sz="0" w:space="0" w:color="FFFFFF"/>
              <w:left w:val="none" w:sz="0" w:space="0" w:color="FFFFFF"/>
              <w:bottom w:val="single" w:sz="12" w:space="0" w:color="000000"/>
              <w:right w:val="none" w:sz="0" w:space="0" w:color="FFFFFF"/>
            </w:tcBorders>
            <w:shd w:val="clear" w:color="auto" w:fill="FFFFFF"/>
            <w:tcMar>
              <w:top w:w="80" w:type="dxa"/>
              <w:left w:w="100" w:type="dxa"/>
              <w:bottom w:w="80" w:type="dxa"/>
              <w:right w:w="100" w:type="dxa"/>
            </w:tcMar>
            <w:vAlign w:val="center"/>
          </w:tcPr>
          <w:p w14:paraId="6995D411" w14:textId="77777777" w:rsidR="00044CAC" w:rsidRDefault="00A20A4C">
            <w:r>
              <w:rPr>
                <w:b/>
                <w:bCs/>
              </w:rPr>
              <w:t xml:space="preserve">Descrição</w:t>
            </w:r>
          </w:p>
        </w:tc>
      </w:tr>
      <w:tr w:rsidR="00044CAC" w14:paraId="74E8814A"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6D9137D7" w14:textId="77777777" w:rsidR="00044CAC" w:rsidRDefault="00A20A4C">
            <w:r>
              <w:rPr>
                <w:b w:val="false"/>
              </w:rPr>
              <w:t xml:space="preserve">Problema identificado</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771828F7" w14:textId="77777777" w:rsidR="00044CAC" w:rsidRDefault="00A20A4C">
            <w:r>
              <w:rPr>
                <w:b w:val="false"/>
              </w:rPr>
              <w:t xml:space="preserve">5.259 estabelecimentos usam CEPs terminados em 000 (grandes avenidas, que atravessam vários bairros) e 4.994 têm bairro não encontrado pelo geocodificador; 5 têm o CEP geral da cidade ou CEP zero.</w:t>
            </w:r>
          </w:p>
        </w:tc>
      </w:tr>
      <w:tr w:rsidR="00044CAC" w14:paraId="74E8814A"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6D9137D7" w14:textId="77777777" w:rsidR="00044CAC" w:rsidRDefault="00A20A4C">
            <w:r>
              <w:rPr>
                <w:b w:val="false"/>
              </w:rPr>
              <w:t xml:space="preserve">Decisão adotada</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771828F7" w14:textId="77777777" w:rsidR="00044CAC" w:rsidRDefault="00A20A4C">
            <w:r>
              <w:rPr>
                <w:b w:val="false"/>
              </w:rPr>
              <w:t xml:space="preserve">CEPs genéricos ficam sem ponto no mapa e recebem a região pelo bairro da avenida (confiabilidade Média). Os 5 sem localização ficam como “Não classificado”.</w:t>
            </w:r>
          </w:p>
        </w:tc>
      </w:tr>
      <w:tr w:rsidR="00044CAC" w14:paraId="74E8814A"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6D9137D7" w14:textId="77777777" w:rsidR="00044CAC" w:rsidRDefault="00A20A4C">
            <w:r>
              <w:rPr>
                <w:b w:val="false"/>
              </w:rPr>
              <w:t xml:space="preserve">Justificativa</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771828F7" w14:textId="77777777" w:rsidR="00044CAC" w:rsidRDefault="00A20A4C">
            <w:r>
              <w:rPr>
                <w:b w:val="false"/>
              </w:rPr>
              <w:t xml:space="preserve">Um ponto no centro de uma avenida longa seria enganoso; a região, por outro lado, raramente muda ao longo dela.</w:t>
            </w:r>
          </w:p>
        </w:tc>
      </w:tr>
      <w:tr w:rsidR="00044CAC" w14:paraId="74E8814A"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6D9137D7" w14:textId="77777777" w:rsidR="00044CAC" w:rsidRDefault="00A20A4C">
            <w:r>
              <w:rPr>
                <w:b w:val="false"/>
              </w:rPr>
              <w:t xml:space="preserve">Impacto</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771828F7" w14:textId="77777777" w:rsidR="00044CAC" w:rsidRDefault="00A20A4C">
            <w:r>
              <w:rPr>
                <w:b w:val="false"/>
              </w:rPr>
              <w:t xml:space="preserve">10.255 estabelecimentos sem ponto no mapa, todos com região (exceto os 5).</w:t>
            </w:r>
          </w:p>
        </w:tc>
      </w:tr>
      <w:tr w:rsidR="00044CAC" w14:paraId="74E8814A"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6D9137D7" w14:textId="77777777" w:rsidR="00044CAC" w:rsidRDefault="00A20A4C">
            <w:r>
              <w:rPr>
                <w:b w:val="false"/>
              </w:rPr>
              <w:t xml:space="preserve">User Stories impactadas</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771828F7" w14:textId="77777777" w:rsidR="00044CAC" w:rsidRDefault="00A20A4C">
            <w:r>
              <w:rPr>
                <w:b w:val="false"/>
              </w:rPr>
              <w:t xml:space="preserve">US06</w:t>
            </w:r>
          </w:p>
        </w:tc>
      </w:tr>
      <w:tr w:rsidR="00044CAC" w14:paraId="74E8814A"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6D9137D7" w14:textId="77777777" w:rsidR="00044CAC" w:rsidRDefault="00A20A4C">
            <w:r>
              <w:rPr>
                <w:b w:val="false"/>
              </w:rPr>
              <w:t xml:space="preserve">Status</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771828F7" w14:textId="77777777" w:rsidR="00044CAC" w:rsidRDefault="00A20A4C">
            <w:r>
              <w:rPr>
                <w:b w:val="false"/>
              </w:rPr>
              <w:t xml:space="preserve">Fechada — geocodificação dos bairros não encontrados fica na Sprint 3</w:t>
            </w:r>
          </w:p>
        </w:tc>
      </w:tr>
    </w:tbl>
    <w:p w14:paraId="5A742308" w14:textId="77777777" w:rsidR="00044CAC" w:rsidRDefault="00A20A4C">
      <w:pPr>
        <w:pStyle w:val="Ttulo3"/>
      </w:pPr>
      <w:r>
        <w:t xml:space="preserve">DEC-019 — Situação detalhada do estabelecimento</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600"/>
      </w:tblGrid>
      <w:tr w:rsidR="00044CAC" w14:paraId="33F588E3" w14:textId="77777777">
        <w:trPr>
          <w:tblHeader/>
        </w:trPr>
        <w:tc>
          <w:tcPr>
            <w:tcW w:w="2600" w:type="dxa"/>
            <w:tcBorders>
              <w:top w:val="none" w:sz="0" w:space="0" w:color="FFFFFF"/>
              <w:left w:val="none" w:sz="0" w:space="0" w:color="FFFFFF"/>
              <w:bottom w:val="single" w:sz="12" w:space="0" w:color="000000"/>
              <w:right w:val="none" w:sz="0" w:space="0" w:color="FFFFFF"/>
            </w:tcBorders>
            <w:shd w:val="clear" w:color="auto" w:fill="FFFFFF"/>
            <w:tcMar>
              <w:top w:w="80" w:type="dxa"/>
              <w:left w:w="100" w:type="dxa"/>
              <w:bottom w:w="80" w:type="dxa"/>
              <w:right w:w="100" w:type="dxa"/>
            </w:tcMar>
            <w:vAlign w:val="center"/>
          </w:tcPr>
          <w:p w14:paraId="3470E1DE" w14:textId="77777777" w:rsidR="00044CAC" w:rsidRDefault="00A20A4C">
            <w:r>
              <w:rPr>
                <w:b/>
                <w:bCs/>
              </w:rPr>
              <w:t xml:space="preserve">Campo</w:t>
            </w:r>
          </w:p>
        </w:tc>
        <w:tc>
          <w:tcPr>
            <w:tcW w:w="6600" w:type="dxa"/>
            <w:tcBorders>
              <w:top w:val="none" w:sz="0" w:space="0" w:color="FFFFFF"/>
              <w:left w:val="none" w:sz="0" w:space="0" w:color="FFFFFF"/>
              <w:bottom w:val="single" w:sz="12" w:space="0" w:color="000000"/>
              <w:right w:val="none" w:sz="0" w:space="0" w:color="FFFFFF"/>
            </w:tcBorders>
            <w:shd w:val="clear" w:color="auto" w:fill="FFFFFF"/>
            <w:tcMar>
              <w:top w:w="80" w:type="dxa"/>
              <w:left w:w="100" w:type="dxa"/>
              <w:bottom w:w="80" w:type="dxa"/>
              <w:right w:w="100" w:type="dxa"/>
            </w:tcMar>
            <w:vAlign w:val="center"/>
          </w:tcPr>
          <w:p w14:paraId="6995D411" w14:textId="77777777" w:rsidR="00044CAC" w:rsidRDefault="00A20A4C">
            <w:r>
              <w:rPr>
                <w:b/>
                <w:bCs/>
              </w:rPr>
              <w:t xml:space="preserve">Descrição</w:t>
            </w:r>
          </w:p>
        </w:tc>
      </w:tr>
      <w:tr w:rsidR="00044CAC" w14:paraId="74E8814A"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6D9137D7" w14:textId="77777777" w:rsidR="00044CAC" w:rsidRDefault="00A20A4C">
            <w:r>
              <w:rPr>
                <w:b w:val="false"/>
              </w:rPr>
              <w:t xml:space="preserve">Problema identificado</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771828F7" w14:textId="77777777" w:rsidR="00044CAC" w:rsidRDefault="00A20A4C">
            <w:r>
              <w:rPr>
                <w:b w:val="false"/>
              </w:rPr>
              <w:t xml:space="preserve">A situação “Com vínculo” do painel (RAIS positiva, 16.816) inclui 1.758 estabelecimentos que tiveram empregados no ano, mas fecharam 2024 com zero vínculos ativos.</w:t>
            </w:r>
          </w:p>
        </w:tc>
      </w:tr>
      <w:tr w:rsidR="00044CAC" w14:paraId="74E8814A"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6D9137D7" w14:textId="77777777" w:rsidR="00044CAC" w:rsidRDefault="00A20A4C">
            <w:r>
              <w:rPr>
                <w:b w:val="false"/>
              </w:rPr>
              <w:t xml:space="preserve">Decisão adotada</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771828F7" w14:textId="77777777" w:rsidR="00044CAC" w:rsidRDefault="00A20A4C">
            <w:r>
              <w:rPr>
                <w:b w:val="false"/>
              </w:rPr>
              <w:t xml:space="preserve">Manter a coluna Situação Vínculo como no painel (DEC-011) e criar a coluna Situação Detalhada com quatro categorias: com vínculos em 31/12 (15.058), sem vínculos em 31/12 não negativa (1.758), RAIS negativa (30.470) e indicador 2 (53).</w:t>
            </w:r>
          </w:p>
        </w:tc>
      </w:tr>
      <w:tr w:rsidR="00044CAC" w14:paraId="74E8814A"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6D9137D7" w14:textId="77777777" w:rsidR="00044CAC" w:rsidRDefault="00A20A4C">
            <w:r>
              <w:rPr>
                <w:b w:val="false"/>
              </w:rPr>
              <w:t xml:space="preserve">Justificativa</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771828F7" w14:textId="77777777" w:rsidR="00044CAC" w:rsidRDefault="00A20A4C">
            <w:r>
              <w:rPr>
                <w:b w:val="false"/>
              </w:rPr>
              <w:t xml:space="preserve">Preserva os números atuais do painel e permite a leitura correta de “empregos em 31/12”.</w:t>
            </w:r>
          </w:p>
        </w:tc>
      </w:tr>
      <w:tr w:rsidR="00044CAC" w14:paraId="74E8814A"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6D9137D7" w14:textId="77777777" w:rsidR="00044CAC" w:rsidRDefault="00A20A4C">
            <w:r>
              <w:rPr>
                <w:b w:val="false"/>
              </w:rPr>
              <w:t xml:space="preserve">Impacto</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771828F7" w14:textId="77777777" w:rsidR="00044CAC" w:rsidRDefault="00A20A4C">
            <w:r>
              <w:rPr>
                <w:b w:val="false"/>
              </w:rPr>
              <w:t xml:space="preserve">Novas medidas podem contar só quem tinha empregados em 31/12; textos do painel devem distinguir estabelecimentos de vínculos.</w:t>
            </w:r>
          </w:p>
        </w:tc>
      </w:tr>
      <w:tr w:rsidR="00044CAC" w14:paraId="74E8814A"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6D9137D7" w14:textId="77777777" w:rsidR="00044CAC" w:rsidRDefault="00A20A4C">
            <w:r>
              <w:rPr>
                <w:b w:val="false"/>
              </w:rPr>
              <w:t xml:space="preserve">User Stories impactadas</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771828F7" w14:textId="77777777" w:rsidR="00044CAC" w:rsidRDefault="00A20A4C">
            <w:r>
              <w:rPr>
                <w:b w:val="false"/>
              </w:rPr>
              <w:t xml:space="preserve">US07, US08</w:t>
            </w:r>
          </w:p>
        </w:tc>
      </w:tr>
      <w:tr w:rsidR="00044CAC" w14:paraId="74E8814A"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6D9137D7" w14:textId="77777777" w:rsidR="00044CAC" w:rsidRDefault="00A20A4C">
            <w:r>
              <w:rPr>
                <w:b w:val="false"/>
              </w:rPr>
              <w:t xml:space="preserve">Status</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771828F7" w14:textId="77777777" w:rsidR="00044CAC" w:rsidRDefault="00A20A4C">
            <w:r>
              <w:rPr>
                <w:b w:val="false"/>
              </w:rPr>
              <w:t xml:space="preserve">Fechada</w:t>
            </w:r>
          </w:p>
        </w:tc>
      </w:tr>
    </w:tbl>
    <w:p w14:paraId="5A742308" w14:textId="77777777" w:rsidR="00044CAC" w:rsidRDefault="00A20A4C">
      <w:pPr>
        <w:pStyle w:val="Ttulo3"/>
      </w:pPr>
      <w:r>
        <w:t xml:space="preserve">DEC-020 — Descrições oficiais da CNAE 2.3</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600"/>
      </w:tblGrid>
      <w:tr w:rsidR="00044CAC" w14:paraId="33F588E3" w14:textId="77777777">
        <w:trPr>
          <w:tblHeader/>
        </w:trPr>
        <w:tc>
          <w:tcPr>
            <w:tcW w:w="2600" w:type="dxa"/>
            <w:tcBorders>
              <w:top w:val="none" w:sz="0" w:space="0" w:color="FFFFFF"/>
              <w:left w:val="none" w:sz="0" w:space="0" w:color="FFFFFF"/>
              <w:bottom w:val="single" w:sz="12" w:space="0" w:color="000000"/>
              <w:right w:val="none" w:sz="0" w:space="0" w:color="FFFFFF"/>
            </w:tcBorders>
            <w:shd w:val="clear" w:color="auto" w:fill="FFFFFF"/>
            <w:tcMar>
              <w:top w:w="80" w:type="dxa"/>
              <w:left w:w="100" w:type="dxa"/>
              <w:bottom w:w="80" w:type="dxa"/>
              <w:right w:w="100" w:type="dxa"/>
            </w:tcMar>
            <w:vAlign w:val="center"/>
          </w:tcPr>
          <w:p w14:paraId="3470E1DE" w14:textId="77777777" w:rsidR="00044CAC" w:rsidRDefault="00A20A4C">
            <w:r>
              <w:rPr>
                <w:b/>
                <w:bCs/>
              </w:rPr>
              <w:t xml:space="preserve">Campo</w:t>
            </w:r>
          </w:p>
        </w:tc>
        <w:tc>
          <w:tcPr>
            <w:tcW w:w="6600" w:type="dxa"/>
            <w:tcBorders>
              <w:top w:val="none" w:sz="0" w:space="0" w:color="FFFFFF"/>
              <w:left w:val="none" w:sz="0" w:space="0" w:color="FFFFFF"/>
              <w:bottom w:val="single" w:sz="12" w:space="0" w:color="000000"/>
              <w:right w:val="none" w:sz="0" w:space="0" w:color="FFFFFF"/>
            </w:tcBorders>
            <w:shd w:val="clear" w:color="auto" w:fill="FFFFFF"/>
            <w:tcMar>
              <w:top w:w="80" w:type="dxa"/>
              <w:left w:w="100" w:type="dxa"/>
              <w:bottom w:w="80" w:type="dxa"/>
              <w:right w:w="100" w:type="dxa"/>
            </w:tcMar>
            <w:vAlign w:val="center"/>
          </w:tcPr>
          <w:p w14:paraId="6995D411" w14:textId="77777777" w:rsidR="00044CAC" w:rsidRDefault="00A20A4C">
            <w:r>
              <w:rPr>
                <w:b/>
                <w:bCs/>
              </w:rPr>
              <w:t xml:space="preserve">Descrição</w:t>
            </w:r>
          </w:p>
        </w:tc>
      </w:tr>
      <w:tr w:rsidR="00044CAC" w14:paraId="74E8814A"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6D9137D7" w14:textId="77777777" w:rsidR="00044CAC" w:rsidRDefault="00A20A4C">
            <w:r>
              <w:rPr>
                <w:b w:val="false"/>
              </w:rPr>
              <w:t xml:space="preserve">Problema identificado</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771828F7" w14:textId="77777777" w:rsidR="00044CAC" w:rsidRDefault="00A20A4C">
            <w:r>
              <w:rPr>
                <w:b w:val="false"/>
              </w:rPr>
              <w:t xml:space="preserve">As descrições de grupo, classe e subclasse da base usavam grafias antigas e quebras de linha (ex.: “liqüefeito”, “glp”, “préescola”). Os códigos batem 100% com a CNAE 2.3.</w:t>
            </w:r>
          </w:p>
        </w:tc>
      </w:tr>
      <w:tr w:rsidR="00044CAC" w14:paraId="74E8814A"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6D9137D7" w14:textId="77777777" w:rsidR="00044CAC" w:rsidRDefault="00A20A4C">
            <w:r>
              <w:rPr>
                <w:b w:val="false"/>
              </w:rPr>
              <w:t xml:space="preserve">Decisão adotada</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771828F7" w14:textId="77777777" w:rsidR="00044CAC" w:rsidRDefault="00A20A4C">
            <w:r>
              <w:rPr>
                <w:b w:val="false"/>
              </w:rPr>
              <w:t xml:space="preserve">Substituir as descrições pelo texto oficial da CNAE 2.3 (IBGE/CONCLA), mantendo os códigos. Subclasses inexistentes na CNAE 2.3 (8630505 e 9999999, 16 estabelecimentos) mantêm a descrição anterior e ficam marcadas na coluna Subclasse na CNAE 2.3.</w:t>
            </w:r>
          </w:p>
        </w:tc>
      </w:tr>
      <w:tr w:rsidR="00044CAC" w14:paraId="74E8814A"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6D9137D7" w14:textId="77777777" w:rsidR="00044CAC" w:rsidRDefault="00A20A4C">
            <w:r>
              <w:rPr>
                <w:b w:val="false"/>
              </w:rPr>
              <w:t xml:space="preserve">Justificativa</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771828F7" w14:textId="77777777" w:rsidR="00044CAC" w:rsidRDefault="00A20A4C">
            <w:r>
              <w:rPr>
                <w:b w:val="false"/>
              </w:rPr>
              <w:t xml:space="preserve">Rótulos oficiais e uniformes no painel e nos relatórios.</w:t>
            </w:r>
          </w:p>
        </w:tc>
      </w:tr>
      <w:tr w:rsidR="00044CAC" w14:paraId="74E8814A"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6D9137D7" w14:textId="77777777" w:rsidR="00044CAC" w:rsidRDefault="00A20A4C">
            <w:r>
              <w:rPr>
                <w:b w:val="false"/>
              </w:rPr>
              <w:t xml:space="preserve">Impacto</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771828F7" w14:textId="77777777" w:rsidR="00044CAC" w:rsidRDefault="00A20A4C">
            <w:r>
              <w:rPr>
                <w:b w:val="false"/>
              </w:rPr>
              <w:t xml:space="preserve">2.869 estabelecimentos com descrição atualizada; nenhum código alterado.</w:t>
            </w:r>
          </w:p>
        </w:tc>
      </w:tr>
      <w:tr w:rsidR="00044CAC" w14:paraId="74E8814A"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6D9137D7" w14:textId="77777777" w:rsidR="00044CAC" w:rsidRDefault="00A20A4C">
            <w:r>
              <w:rPr>
                <w:b w:val="false"/>
              </w:rPr>
              <w:t xml:space="preserve">User Stories impactadas</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771828F7" w14:textId="77777777" w:rsidR="00044CAC" w:rsidRDefault="00A20A4C">
            <w:r>
              <w:rPr>
                <w:b w:val="false"/>
              </w:rPr>
              <w:t xml:space="preserve">US07, US08</w:t>
            </w:r>
          </w:p>
        </w:tc>
      </w:tr>
      <w:tr w:rsidR="00044CAC" w14:paraId="74E8814A"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6D9137D7" w14:textId="77777777" w:rsidR="00044CAC" w:rsidRDefault="00A20A4C">
            <w:r>
              <w:rPr>
                <w:b w:val="false"/>
              </w:rPr>
              <w:t xml:space="preserve">Status</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771828F7" w14:textId="77777777" w:rsidR="00044CAC" w:rsidRDefault="00A20A4C">
            <w:r>
              <w:rPr>
                <w:b w:val="false"/>
              </w:rPr>
              <w:t xml:space="preserve">Fechada</w:t>
            </w:r>
          </w:p>
        </w:tc>
      </w:tr>
    </w:tbl>
    <w:p w14:paraId="5A742308" w14:textId="77777777" w:rsidR="00044CAC" w:rsidRDefault="00A20A4C">
      <w:pPr>
        <w:pStyle w:val="Ttulo3"/>
      </w:pPr>
      <w:r>
        <w:t xml:space="preserve">DEC-021 — Classificações derivadas da CNAE e do porte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600"/>
      </w:tblGrid>
      <w:tr w:rsidR="00044CAC" w14:paraId="33F588E3" w14:textId="77777777">
        <w:trPr>
          <w:tblHeader/>
        </w:trPr>
        <w:tc>
          <w:tcPr>
            <w:tcW w:w="2600" w:type="dxa"/>
            <w:tcBorders>
              <w:top w:val="none" w:sz="0" w:space="0" w:color="FFFFFF"/>
              <w:left w:val="none" w:sz="0" w:space="0" w:color="FFFFFF"/>
              <w:bottom w:val="single" w:sz="12" w:space="0" w:color="000000"/>
              <w:right w:val="none" w:sz="0" w:space="0" w:color="FFFFFF"/>
            </w:tcBorders>
            <w:shd w:val="clear" w:color="auto" w:fill="FFFFFF"/>
            <w:tcMar>
              <w:top w:w="80" w:type="dxa"/>
              <w:left w:w="100" w:type="dxa"/>
              <w:bottom w:w="80" w:type="dxa"/>
              <w:right w:w="100" w:type="dxa"/>
            </w:tcMar>
            <w:vAlign w:val="center"/>
          </w:tcPr>
          <w:p w14:paraId="3470E1DE" w14:textId="77777777" w:rsidR="00044CAC" w:rsidRDefault="00A20A4C">
            <w:r>
              <w:rPr>
                <w:b/>
                <w:bCs/>
              </w:rPr>
              <w:t xml:space="preserve">Campo</w:t>
            </w:r>
          </w:p>
        </w:tc>
        <w:tc>
          <w:tcPr>
            <w:tcW w:w="6600" w:type="dxa"/>
            <w:tcBorders>
              <w:top w:val="none" w:sz="0" w:space="0" w:color="FFFFFF"/>
              <w:left w:val="none" w:sz="0" w:space="0" w:color="FFFFFF"/>
              <w:bottom w:val="single" w:sz="12" w:space="0" w:color="000000"/>
              <w:right w:val="none" w:sz="0" w:space="0" w:color="FFFFFF"/>
            </w:tcBorders>
            <w:shd w:val="clear" w:color="auto" w:fill="FFFFFF"/>
            <w:tcMar>
              <w:top w:w="80" w:type="dxa"/>
              <w:left w:w="100" w:type="dxa"/>
              <w:bottom w:w="80" w:type="dxa"/>
              <w:right w:w="100" w:type="dxa"/>
            </w:tcMar>
            <w:vAlign w:val="center"/>
          </w:tcPr>
          <w:p w14:paraId="6995D411" w14:textId="77777777" w:rsidR="00044CAC" w:rsidRDefault="00A20A4C">
            <w:r>
              <w:rPr>
                <w:b/>
                <w:bCs/>
              </w:rPr>
              <w:t xml:space="preserve">Descrição</w:t>
            </w:r>
          </w:p>
        </w:tc>
      </w:tr>
      <w:tr w:rsidR="00044CAC" w14:paraId="74E8814A"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6D9137D7" w14:textId="77777777" w:rsidR="00044CAC" w:rsidRDefault="00A20A4C">
            <w:r>
              <w:rPr>
                <w:b w:val="false"/>
              </w:rPr>
              <w:t xml:space="preserve">Problema identificado</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771828F7" w14:textId="77777777" w:rsidR="00044CAC" w:rsidRDefault="00A20A4C">
            <w:r>
              <w:rPr>
                <w:b w:val="false"/>
              </w:rPr>
              <w:t xml:space="preserve">Os requisitos do cliente pedem o tipo de atividade predominante (manufatura, tecnologia, logística, serviços especializados), a relação com o desenvolvimento tecnológico e os setores aeroespacial, automotivo e químico.</w:t>
            </w:r>
          </w:p>
        </w:tc>
      </w:tr>
      <w:tr w:rsidR="00044CAC" w14:paraId="74E8814A"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6D9137D7" w14:textId="77777777" w:rsidR="00044CAC" w:rsidRDefault="00A20A4C">
            <w:r>
              <w:rPr>
                <w:b w:val="false"/>
              </w:rPr>
              <w:t xml:space="preserve">Decisão adotada</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771828F7" w14:textId="77777777" w:rsidR="00044CAC" w:rsidRDefault="00A20A4C">
            <w:r>
              <w:rPr>
                <w:b w:val="false"/>
              </w:rPr>
              <w:t xml:space="preserve">Criar quatro colunas por regra fixa: Tipo de Atividade (grupos de seções/divisões CNAE), Intensidade Tecnológica OCDE (taxonomia da OCDE de 2016), Porte SEBRAE (critério por número de empregados, indústria × comércio/serviços) e Setor Destaque (automotiva, aeroespacial e química e farmacêutica).</w:t>
            </w:r>
          </w:p>
        </w:tc>
      </w:tr>
      <w:tr w:rsidR="00044CAC" w14:paraId="74E8814A"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6D9137D7" w14:textId="77777777" w:rsidR="00044CAC" w:rsidRDefault="00A20A4C">
            <w:r>
              <w:rPr>
                <w:b w:val="false"/>
              </w:rPr>
              <w:t xml:space="preserve">Justificativa</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771828F7" w14:textId="77777777" w:rsidR="00044CAC" w:rsidRDefault="00A20A4C">
            <w:r>
              <w:rPr>
                <w:b w:val="false"/>
              </w:rPr>
              <w:t xml:space="preserve">Responde diretamente às perguntas do documento de requisitos; regras fixas tornam a classificação reprodutível.</w:t>
            </w:r>
          </w:p>
        </w:tc>
      </w:tr>
      <w:tr w:rsidR="00044CAC" w14:paraId="74E8814A"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6D9137D7" w14:textId="77777777" w:rsidR="00044CAC" w:rsidRDefault="00A20A4C">
            <w:r>
              <w:rPr>
                <w:b w:val="false"/>
              </w:rPr>
              <w:t xml:space="preserve">Impacto</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771828F7" w14:textId="77777777" w:rsidR="00044CAC" w:rsidRDefault="00A20A4C">
            <w:r>
              <w:rPr>
                <w:b w:val="false"/>
              </w:rPr>
              <w:t xml:space="preserve">Atividades de alta e média-alta tecnologia: cerca de 28,8 mil vínculos (14% do emprego formal) em 2.519 estabelecimentos.</w:t>
            </w:r>
          </w:p>
        </w:tc>
      </w:tr>
      <w:tr w:rsidR="00044CAC" w14:paraId="74E8814A"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6D9137D7" w14:textId="77777777" w:rsidR="00044CAC" w:rsidRDefault="00A20A4C">
            <w:r>
              <w:rPr>
                <w:b w:val="false"/>
              </w:rPr>
              <w:t xml:space="preserve">User Stories impactadas</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771828F7" w14:textId="77777777" w:rsidR="00044CAC" w:rsidRDefault="00A20A4C">
            <w:r>
              <w:rPr>
                <w:b w:val="false"/>
              </w:rPr>
              <w:t xml:space="preserve">US07, US08, US11</w:t>
            </w:r>
          </w:p>
        </w:tc>
      </w:tr>
      <w:tr w:rsidR="00044CAC" w14:paraId="74E8814A"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6D9137D7" w14:textId="77777777" w:rsidR="00044CAC" w:rsidRDefault="00A20A4C">
            <w:r>
              <w:rPr>
                <w:b w:val="false"/>
              </w:rPr>
              <w:t xml:space="preserve">Status</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771828F7" w14:textId="77777777" w:rsidR="00044CAC" w:rsidRDefault="00A20A4C">
            <w:r>
              <w:rPr>
                <w:b w:val="false"/>
              </w:rPr>
              <w:t xml:space="preserve">Fechada</w:t>
            </w:r>
          </w:p>
        </w:tc>
      </w:tr>
    </w:tbl>
    <w:p w14:paraId="5A742308" w14:textId="77777777" w:rsidR="00044CAC" w:rsidRDefault="00A20A4C">
      <w:pPr>
        <w:pStyle w:val="Ttulo3"/>
      </w:pPr>
      <w:r>
        <w:t xml:space="preserve">DEC-022 — Base única para o Power BI e mapa por coordenadas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600"/>
      </w:tblGrid>
      <w:tr w:rsidR="00044CAC" w14:paraId="33F588E3" w14:textId="77777777">
        <w:trPr>
          <w:tblHeader/>
        </w:trPr>
        <w:tc>
          <w:tcPr>
            <w:tcW w:w="2600" w:type="dxa"/>
            <w:tcBorders>
              <w:top w:val="none" w:sz="0" w:space="0" w:color="FFFFFF"/>
              <w:left w:val="none" w:sz="0" w:space="0" w:color="FFFFFF"/>
              <w:bottom w:val="single" w:sz="12" w:space="0" w:color="000000"/>
              <w:right w:val="none" w:sz="0" w:space="0" w:color="FFFFFF"/>
            </w:tcBorders>
            <w:shd w:val="clear" w:color="auto" w:fill="FFFFFF"/>
            <w:tcMar>
              <w:top w:w="80" w:type="dxa"/>
              <w:left w:w="100" w:type="dxa"/>
              <w:bottom w:w="80" w:type="dxa"/>
              <w:right w:w="100" w:type="dxa"/>
            </w:tcMar>
            <w:vAlign w:val="center"/>
          </w:tcPr>
          <w:p w14:paraId="3470E1DE" w14:textId="77777777" w:rsidR="00044CAC" w:rsidRDefault="00A20A4C">
            <w:r>
              <w:rPr>
                <w:b/>
                <w:bCs/>
              </w:rPr>
              <w:t xml:space="preserve">Campo</w:t>
            </w:r>
          </w:p>
        </w:tc>
        <w:tc>
          <w:tcPr>
            <w:tcW w:w="6600" w:type="dxa"/>
            <w:tcBorders>
              <w:top w:val="none" w:sz="0" w:space="0" w:color="FFFFFF"/>
              <w:left w:val="none" w:sz="0" w:space="0" w:color="FFFFFF"/>
              <w:bottom w:val="single" w:sz="12" w:space="0" w:color="000000"/>
              <w:right w:val="none" w:sz="0" w:space="0" w:color="FFFFFF"/>
            </w:tcBorders>
            <w:shd w:val="clear" w:color="auto" w:fill="FFFFFF"/>
            <w:tcMar>
              <w:top w:w="80" w:type="dxa"/>
              <w:left w:w="100" w:type="dxa"/>
              <w:bottom w:w="80" w:type="dxa"/>
              <w:right w:w="100" w:type="dxa"/>
            </w:tcMar>
            <w:vAlign w:val="center"/>
          </w:tcPr>
          <w:p w14:paraId="6995D411" w14:textId="77777777" w:rsidR="00044CAC" w:rsidRDefault="00A20A4C">
            <w:r>
              <w:rPr>
                <w:b/>
                <w:bCs/>
              </w:rPr>
              <w:t xml:space="preserve">Descrição</w:t>
            </w:r>
          </w:p>
        </w:tc>
      </w:tr>
      <w:tr w:rsidR="00044CAC" w14:paraId="74E8814A"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6D9137D7" w14:textId="77777777" w:rsidR="00044CAC" w:rsidRDefault="00A20A4C">
            <w:r>
              <w:rPr>
                <w:b w:val="false"/>
              </w:rPr>
              <w:t xml:space="preserve">Problema identificado</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771828F7" w14:textId="77777777" w:rsidR="00044CAC" w:rsidRDefault="00A20A4C">
            <w:r>
              <w:rPr>
                <w:b w:val="false"/>
              </w:rPr>
              <w:t xml:space="preserve">O painel lia a RAIS sem região nem coordenadas, e o mapa localizava os estabelecimentos pelo texto do CEP, que o Azure Maps não encontra com precisão.</w:t>
            </w:r>
          </w:p>
        </w:tc>
      </w:tr>
      <w:tr w:rsidR="00044CAC" w14:paraId="74E8814A"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6D9137D7" w14:textId="77777777" w:rsidR="00044CAC" w:rsidRDefault="00A20A4C">
            <w:r>
              <w:rPr>
                <w:b w:val="false"/>
              </w:rPr>
              <w:t xml:space="preserve">Decisão adotada</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771828F7" w14:textId="77777777" w:rsidR="00044CAC" w:rsidRDefault="00A20A4C">
            <w:r>
              <w:rPr>
                <w:b w:val="false"/>
              </w:rPr>
              <w:t xml:space="preserve">Gerar uma base única (RAIS_SJC_2024_PowerBI.csv, 47.339 linhas, 46 colunas) que substitui a fonte da tabela RAIS_SJC mantendo os nomes de colunas usados pelos visuais; o mapa passa a usar Latitude e Longitude.</w:t>
            </w:r>
          </w:p>
        </w:tc>
      </w:tr>
      <w:tr w:rsidR="00044CAC" w14:paraId="74E8814A"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6D9137D7" w14:textId="77777777" w:rsidR="00044CAC" w:rsidRDefault="00A20A4C">
            <w:r>
              <w:rPr>
                <w:b w:val="false"/>
              </w:rPr>
              <w:t xml:space="preserve">Justificativa</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771828F7" w14:textId="77777777" w:rsidR="00044CAC" w:rsidRDefault="00A20A4C">
            <w:r>
              <w:rPr>
                <w:b w:val="false"/>
              </w:rPr>
              <w:t xml:space="preserve">Evita retrabalho nos visuais e torna o mapa confiável.</w:t>
            </w:r>
          </w:p>
        </w:tc>
      </w:tr>
      <w:tr w:rsidR="00044CAC" w14:paraId="74E8814A"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6D9137D7" w14:textId="77777777" w:rsidR="00044CAC" w:rsidRDefault="00A20A4C">
            <w:r>
              <w:rPr>
                <w:b w:val="false"/>
              </w:rPr>
              <w:t xml:space="preserve">Impacto</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771828F7" w14:textId="77777777" w:rsidR="00044CAC" w:rsidRDefault="00A20A4C">
            <w:r>
              <w:rPr>
                <w:b w:val="false"/>
              </w:rPr>
              <w:t xml:space="preserve">Troca de fonte e ajuste do mapa no Power BI, conforme o guia de importação (evidencias/).</w:t>
            </w:r>
          </w:p>
        </w:tc>
      </w:tr>
      <w:tr w:rsidR="00044CAC" w14:paraId="74E8814A"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6D9137D7" w14:textId="77777777" w:rsidR="00044CAC" w:rsidRDefault="00A20A4C">
            <w:r>
              <w:rPr>
                <w:b w:val="false"/>
              </w:rPr>
              <w:t xml:space="preserve">User Stories impactadas</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771828F7" w14:textId="77777777" w:rsidR="00044CAC" w:rsidRDefault="00A20A4C">
            <w:r>
              <w:rPr>
                <w:b w:val="false"/>
              </w:rPr>
              <w:t xml:space="preserve">US06, US11</w:t>
            </w:r>
          </w:p>
        </w:tc>
      </w:tr>
      <w:tr w:rsidR="00044CAC" w14:paraId="74E8814A"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6D9137D7" w14:textId="77777777" w:rsidR="00044CAC" w:rsidRDefault="00A20A4C">
            <w:r>
              <w:rPr>
                <w:b w:val="false"/>
              </w:rPr>
              <w:t xml:space="preserve">Status</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771828F7" w14:textId="77777777" w:rsidR="00044CAC" w:rsidRDefault="00A20A4C">
            <w:r>
              <w:rPr>
                <w:b w:val="false"/>
              </w:rPr>
              <w:t xml:space="preserve">Aberta — troca no painel a concluir na Sprint 3</w:t>
            </w:r>
          </w:p>
        </w:tc>
      </w:tr>
    </w:tbl>
    <w:p w14:paraId="541EA1D5" w14:textId="77777777" w:rsidR="00044CAC" w:rsidRDefault="00A20A4C">
      <w:pPr>
        <w:pStyle w:val="Ttulo2"/>
      </w:pPr>
      <w:r>
        <w:t>3. Fechamento da US03</w:t>
      </w:r>
    </w:p>
    <w:p w14:paraId="36333854" w14:textId="77777777" w:rsidR="00044CAC" w:rsidRDefault="00A20A4C">
      <w:pPr>
        <w:spacing w:after="160"/>
      </w:pPr>
      <w:r>
        <w:t xml:space="preserve">Com as cinco decisões da Sprint 1 (DEC-001 a DEC-005), o critério de aceite da US03 (“cada inconsistência encontrada está registrada no Log de Decisões com o tratamento adotado”) foi atendido. Status da US03 no Backlog do Produto: Concluído.</w:t>
      </w:r>
    </w:p>
    <w:p w14:paraId="6604C116" w14:textId="77777777" w:rsidR="00044CAC" w:rsidRDefault="00A20A4C">
      <w:pPr>
        <w:pStyle w:val="Ttulo2"/>
      </w:pPr>
      <w:r>
        <w:t xml:space="preserve">4. Pendências que permanecem em aberto com o cliente</w:t>
      </w:r>
    </w:p>
    <w:p w14:paraId="5F704946" w14:textId="77777777" w:rsidR="00044CAC" w:rsidRDefault="00A20A4C">
      <w:pPr>
        <w:pStyle w:val="PargrafodaLista"/>
        <w:numPr>
          <w:ilvl w:val="0"/>
          <w:numId w:val="1"/>
        </w:numPr>
        <w:spacing w:after="60"/>
      </w:pPr>
      <w:r>
        <w:t xml:space="preserve">Disponibilidade de dados identificados (nome/CNPJ dos estabelecimentos) — afeta DEC-004. Plano de contingência em uso: ranking agregado por setor (US07).</w:t>
      </w:r>
    </w:p>
    <w:p w14:paraId="5F704946" w14:textId="77777777" w:rsidR="00044CAC" w:rsidRDefault="00A20A4C">
      <w:pPr>
        <w:pStyle w:val="PargrafodaLista"/>
        <w:numPr>
          <w:ilvl w:val="0"/>
          <w:numId w:val="1"/>
        </w:numPr>
        <w:spacing w:after="60"/>
      </w:pPr>
      <w:r>
        <w:t xml:space="preserve">Confirmação formal do critério de segmentação por natureza de estabelecimento (DEC-002).</w:t>
      </w:r>
    </w:p>
    <w:p w14:paraId="5F704946" w14:textId="77777777" w:rsidR="00044CAC" w:rsidRDefault="00A20A4C">
      <w:pPr>
        <w:pStyle w:val="PargrafodaLista"/>
        <w:numPr>
          <w:ilvl w:val="0"/>
          <w:numId w:val="1"/>
        </w:numPr>
        <w:spacing w:after="60"/>
      </w:pPr>
      <w:r>
        <w:t xml:space="preserve">Significado do valor 2 no indicador de RAIS negativa (DEC-011).</w:t>
      </w:r>
    </w:p>
    <w:p w14:paraId="5F704946" w14:textId="77777777" w:rsidR="00044CAC" w:rsidRDefault="00A20A4C">
      <w:pPr>
        <w:pStyle w:val="PargrafodaLista"/>
        <w:numPr>
          <w:ilvl w:val="0"/>
          <w:numId w:val="1"/>
        </w:numPr>
        <w:spacing w:after="60"/>
      </w:pPr>
      <w:r>
        <w:t xml:space="preserve">Tabela oficial de bairros por região, incluindo a Região Norte, ou shapefile das regiões (DEC-015).</w:t>
      </w:r>
    </w:p>
    <w:p w14:paraId="5F704946" w14:textId="77777777" w:rsidR="00044CAC" w:rsidRDefault="00A20A4C">
      <w:pPr>
        <w:pStyle w:val="PargrafodaLista"/>
        <w:numPr>
          <w:ilvl w:val="0"/>
          <w:numId w:val="1"/>
        </w:numPr>
        <w:spacing w:after="60"/>
      </w:pPr>
      <w:r>
        <w:t xml:space="preserve">Fonte para a evolução dos setores (US08) e as contratações recentes (US10): RAIS de anos anteriores ou RAIS Vínculos.</w:t>
      </w:r>
    </w:p>
    <w:p w14:paraId="37E2D9B6" w14:textId="77777777" w:rsidR="00044CAC" w:rsidRDefault="00A20A4C">
      <w:pPr>
        <w:spacing w:after="160"/>
      </w:pPr>
      <w:r>
        <w:rPr>
          <w:i/>
          <w:iCs/>
        </w:rPr>
        <w:t xml:space="preserve">Essas pendências não bloquearam a entrega da Sprint 2, mas afetam o fechamento da US06 e o replanejamento da US08 e da US10 na Sprint 3.</w:t>
      </w:r>
    </w:p>
    <w:p w14:paraId="14C6E347" w14:textId="77777777" w:rsidR="00044CAC" w:rsidRDefault="00A20A4C">
      <w:pPr>
        <w:pStyle w:val="Ttulo2"/>
      </w:pPr>
      <w:r>
        <w:t>Como usar este log</w:t>
      </w:r>
    </w:p>
    <w:p w14:paraId="2D09CB33" w14:textId="77777777" w:rsidR="00044CAC" w:rsidRDefault="00A20A4C">
      <w:pPr>
        <w:pStyle w:val="PargrafodaLista"/>
        <w:numPr>
          <w:ilvl w:val="0"/>
          <w:numId w:val="1"/>
        </w:numPr>
        <w:spacing w:after="60"/>
      </w:pPr>
      <w:r>
        <w:t>Toda nova decisão sobre tratamento de dado ganha uma entrada DEC-00X nova, nunca se edita o histórico de uma decisão já tomada (se a decisão mudar, registra-se uma nova entrada referenciando a anterior).</w:t>
      </w:r>
    </w:p>
    <w:p w14:paraId="6BC5240A" w14:textId="77777777" w:rsidR="00044CAC" w:rsidRDefault="00A20A4C">
      <w:pPr>
        <w:pStyle w:val="PargrafodaLista"/>
        <w:numPr>
          <w:ilvl w:val="0"/>
          <w:numId w:val="1"/>
        </w:numPr>
        <w:spacing w:after="60"/>
      </w:pPr>
      <w:r>
        <w:t>Este arquivo deve ser citado no relatório técnico de cada sprint sempre que uma decisão aqui registrada afetar o resultado apresentado.</w:t>
      </w:r>
    </w:p>
    <w:sectPr w:rsidR="00044CAC">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62B238" w14:textId="77777777" w:rsidR="00A20A4C" w:rsidRDefault="00A20A4C">
      <w:r>
        <w:separator/>
      </w:r>
    </w:p>
  </w:endnote>
  <w:endnote w:type="continuationSeparator" w:id="0">
    <w:p w14:paraId="2DE724BF" w14:textId="77777777" w:rsidR="00A20A4C" w:rsidRDefault="00A20A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1A7C85" w14:textId="77777777" w:rsidR="00044CAC" w:rsidRDefault="00A20A4C">
    <w:pPr>
      <w:jc w:val="center"/>
    </w:pPr>
    <w:r>
      <w:rPr>
        <w:color w:val="595959"/>
        <w:sz w:val="16"/>
        <w:szCs w:val="16"/>
      </w:rPr>
      <w:t xml:space="preserve">Observatório do Ecossistema Industrial e de Serviços de São José dos Campos — </w:t>
    </w:r>
    <w:r>
      <w:rPr>
        <w:color w:val="595959"/>
        <w:sz w:val="16"/>
        <w:szCs w:val="16"/>
      </w:rPr>
      <w:fldChar w:fldCharType="begin"/>
    </w:r>
    <w:r>
      <w:rPr>
        <w:color w:val="595959"/>
        <w:sz w:val="16"/>
        <w:szCs w:val="16"/>
      </w:rPr>
      <w:instrText>PAGE</w:instrText>
    </w:r>
    <w:r>
      <w:rPr>
        <w:color w:val="595959"/>
        <w:sz w:val="16"/>
        <w:szCs w:val="16"/>
      </w:rPr>
      <w:fldChar w:fldCharType="separate"/>
    </w:r>
    <w:r>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2A52A3" w14:textId="77777777" w:rsidR="00A20A4C" w:rsidRDefault="00A20A4C">
      <w:r>
        <w:separator/>
      </w:r>
    </w:p>
  </w:footnote>
  <w:footnote w:type="continuationSeparator" w:id="0">
    <w:p w14:paraId="626FDFB8" w14:textId="77777777" w:rsidR="00A20A4C" w:rsidRDefault="00A20A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8F549B"/>
    <w:multiLevelType w:val="hybridMultilevel"/>
    <w:tmpl w:val="E7646E2E"/>
    <w:lvl w:ilvl="0" w:tplc="5E5C70C8">
      <w:start w:val="1"/>
      <w:numFmt w:val="bullet"/>
      <w:lvlText w:val="●"/>
      <w:lvlJc w:val="left"/>
      <w:pPr>
        <w:ind w:left="720" w:hanging="360"/>
      </w:pPr>
    </w:lvl>
    <w:lvl w:ilvl="1" w:tplc="3A125476">
      <w:start w:val="1"/>
      <w:numFmt w:val="bullet"/>
      <w:lvlText w:val="○"/>
      <w:lvlJc w:val="left"/>
      <w:pPr>
        <w:ind w:left="1440" w:hanging="360"/>
      </w:pPr>
    </w:lvl>
    <w:lvl w:ilvl="2" w:tplc="88581BDA">
      <w:start w:val="1"/>
      <w:numFmt w:val="bullet"/>
      <w:lvlText w:val="■"/>
      <w:lvlJc w:val="left"/>
      <w:pPr>
        <w:ind w:left="2160" w:hanging="360"/>
      </w:pPr>
    </w:lvl>
    <w:lvl w:ilvl="3" w:tplc="C4B251CE">
      <w:start w:val="1"/>
      <w:numFmt w:val="bullet"/>
      <w:lvlText w:val="●"/>
      <w:lvlJc w:val="left"/>
      <w:pPr>
        <w:ind w:left="2880" w:hanging="360"/>
      </w:pPr>
    </w:lvl>
    <w:lvl w:ilvl="4" w:tplc="A54CCB98">
      <w:start w:val="1"/>
      <w:numFmt w:val="bullet"/>
      <w:lvlText w:val="○"/>
      <w:lvlJc w:val="left"/>
      <w:pPr>
        <w:ind w:left="3600" w:hanging="360"/>
      </w:pPr>
    </w:lvl>
    <w:lvl w:ilvl="5" w:tplc="F990D676">
      <w:start w:val="1"/>
      <w:numFmt w:val="bullet"/>
      <w:lvlText w:val="■"/>
      <w:lvlJc w:val="left"/>
      <w:pPr>
        <w:ind w:left="4320" w:hanging="360"/>
      </w:pPr>
    </w:lvl>
    <w:lvl w:ilvl="6" w:tplc="0D6C5402">
      <w:start w:val="1"/>
      <w:numFmt w:val="bullet"/>
      <w:lvlText w:val="●"/>
      <w:lvlJc w:val="left"/>
      <w:pPr>
        <w:ind w:left="5040" w:hanging="360"/>
      </w:pPr>
    </w:lvl>
    <w:lvl w:ilvl="7" w:tplc="530C67A2">
      <w:start w:val="1"/>
      <w:numFmt w:val="bullet"/>
      <w:lvlText w:val="●"/>
      <w:lvlJc w:val="left"/>
      <w:pPr>
        <w:ind w:left="5760" w:hanging="360"/>
      </w:pPr>
    </w:lvl>
    <w:lvl w:ilvl="8" w:tplc="10888C46">
      <w:start w:val="1"/>
      <w:numFmt w:val="bullet"/>
      <w:lvlText w:val="●"/>
      <w:lvlJc w:val="left"/>
      <w:pPr>
        <w:ind w:left="6480" w:hanging="360"/>
      </w:pPr>
    </w:lvl>
  </w:abstractNum>
  <w:num w:numId="1" w16cid:durableId="21402947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4CAC"/>
    <w:rsid w:val="00044CAC"/>
    <w:rsid w:val="00157054"/>
    <w:rsid w:val="004A47DD"/>
    <w:rsid w:val="00A20A4C"/>
    <w:rsid w:val="00D1563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67A00"/>
  <w15:docId w15:val="{88537074-D13A-417E-951B-6A3F110E1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000000"/>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6" w:space="4" w:color="000000"/>
      </w:pBdr>
      <w:spacing w:before="320" w:after="160"/>
      <w:outlineLvl w:val="0"/>
    </w:pPr>
    <w:rPr>
      <w:b/>
      <w:bCs/>
      <w:sz w:val="28"/>
      <w:szCs w:val="28"/>
    </w:rPr>
  </w:style>
  <w:style w:type="paragraph" w:styleId="Ttulo2">
    <w:name w:val="heading 2"/>
    <w:uiPriority w:val="9"/>
    <w:unhideWhenUsed/>
    <w:qFormat/>
    <w:pPr>
      <w:spacing w:before="240" w:after="120"/>
      <w:outlineLvl w:val="1"/>
    </w:pPr>
    <w:rPr>
      <w:b/>
      <w:bCs/>
      <w:sz w:val="24"/>
      <w:szCs w:val="24"/>
    </w:rPr>
  </w:style>
  <w:style w:type="paragraph" w:styleId="Ttulo3">
    <w:name w:val="heading 3"/>
    <w:uiPriority w:val="9"/>
    <w:unhideWhenUsed/>
    <w:qFormat/>
    <w:pPr>
      <w:spacing w:before="200" w:after="100"/>
      <w:outlineLvl w:val="2"/>
    </w:pPr>
    <w:rPr>
      <w:b/>
      <w:bCs/>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pPr>
      <w:spacing w:after="120"/>
    </w:pPr>
    <w:rPr>
      <w:b/>
      <w:bCs/>
      <w:sz w:val="40"/>
      <w:szCs w:val="40"/>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1173</Words>
  <Characters>6335</Characters>
  <Application>Microsoft Office Word</Application>
  <DocSecurity>0</DocSecurity>
  <Lines>52</Lines>
  <Paragraphs>14</Paragraphs>
  <ScaleCrop>false</ScaleCrop>
  <Company>Centro Paula Souza</Company>
  <LinksUpToDate>false</LinksUpToDate>
  <CharactersWithSpaces>7494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Fatec</cp:lastModifiedBy>
  <cp:revision>3</cp:revision>
  <dcterms:created xsi:type="dcterms:W3CDTF">2026-09-22T11:21:00Z</dcterms:created>
  <dcterms:modified xsi:type="dcterms:W3CDTF">2026-09-28T22:53:00Z</dcterms:modified>
</cp:coreProperties>
</file>