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Backlog da Sprint 3</w:t>
      </w:r>
    </w:p>
    <w:p>
      <w:pPr>
        <w:spacing w:after="120"/>
      </w:pPr>
      <w:r>
        <w:rPr>
          <w:b/>
          <w:bCs/>
          <w:color w:val="000000"/>
          <w:sz w:val="24"/>
          <w:szCs w:val="24"/>
        </w:rPr>
        <w:t xml:space="preserve">A detalhar na Sprint Planning — entrega estimada 23/11/2026</w:t>
      </w:r>
    </w:p>
    <w:p>
      <w:pPr>
        <w:spacing w:after="80"/>
      </w:pPr>
    </w:p>
    <w:p>
      <w:pPr>
        <w:spacing w:after="160"/>
      </w:pPr>
      <w:r>
        <w:rPr>
          <w:b w:val="false"/>
          <w:bCs w:val="false"/>
          <w:i w:val="false"/>
          <w:iCs w:val="false"/>
          <w:color w:val="000000"/>
        </w:rPr>
        <w:t xml:space="preserve">User Stories previstas (ver 02-Backlog-do-Produto), incluindo as herdadas da Sprint 2: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700"/>
        <w:gridCol w:w="1400"/>
      </w:tblGrid>
      <w:tr>
        <w:trPr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0000"/>
              </w:rPr>
              <w:t xml:space="preserve">ID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0000"/>
              </w:rPr>
              <w:t xml:space="preserve">User Story (resumo)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000000"/>
              </w:rPr>
              <w:t xml:space="preserve">Prior.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US06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Distribuição geográfica das empresas — restante da Sprint 2: mapa por latitude/longitude, região oficial da Prefeitura e pontos ainda não geocodificados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US08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Setores em alta — replanejar com o cliente a fonte da série histórica ou o critério de aceite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8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US10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Contratações mais recentes registradas na RAIS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10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US11</w:t>
            </w:r>
          </w:p>
        </w:tc>
        <w:tc>
          <w:tcPr>
            <w:tcW w:type="dxa" w:w="67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Dashboard consolidado, relatório técnico final e apresentação ao cliente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9D9D9" w:sz="2"/>
              <w:right w:val="none" w:color="FFFFFF" w:sz="0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i w:val="false"/>
                <w:iCs w:val="false"/>
                <w:color w:val="000000"/>
              </w:rPr>
              <w:t xml:space="preserve">11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  <w:color w:val="000000"/>
        </w:rPr>
        <w:t xml:space="preserve">Meta da Sprint 3: (definir na Sprint Planning, com base no que foi aprendido nas Sprints 1 e 2)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000000"/>
        </w:rPr>
        <w:t xml:space="preserve">Estrutura a seguir o mesmo modelo da Sprint 1. Esta é a última sprint de desenvolvimento antes da Feira de Soluções (03/dez), que é o marco de apresentação final ao cliente — não uma sprint adicional.</w:t>
      </w:r>
    </w:p>
    <w:p>
      <w:pPr>
        <w:pStyle w:val="Heading2"/>
      </w:pPr>
      <w:r>
        <w:t xml:space="preserve">Riscos e pontos de atenção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</w:rPr>
        <w:t xml:space="preserve">US10 pede contratações “ordenadas por data”, mas a RAIS Estabelecimentos não traz datas de admissão. Opções: RAIS Vínculos (microdados por vínculo) ou revisão do critério com o cliente.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</w:rPr>
        <w:t xml:space="preserve">US08 depende da RAIS de anos anteriores (2022 e 2023) filtrada pelo mesmo pipeline da Sprint 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</w:rPr>
        <w:t xml:space="preserve">A classificação regional só fica 100% oficial com a tabela bairro → região ou o shapefile da Prefeitura (DEC-015).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color w:val="000000"/>
        </w:rPr>
        <w:t xml:space="preserve">A Sprint 3 termina em 23/11/2026, a 10 dias da Feira de Soluções (03/12/2026): reservar tempo para a apresentação.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Observatório do Ecossistema Industrial e de Serviços de São José dos Campos —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000000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000000" w:sz="6" w:space="4"/>
      </w:pBdr>
      <w:spacing w:after="160" w:before="320"/>
    </w:pPr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i w:val="false"/>
      <w:iCs w:val="false"/>
      <w:color w:val="000000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2026-09-22T11:21:13.168Z</dcterms:created>
  <dcterms:modified xsi:type="dcterms:W3CDTF">2026-09-22T11:21:13.168Z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