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515" w:rsidRDefault="005004C1">
      <w:pPr>
        <w:pStyle w:val="Ttulo"/>
      </w:pPr>
      <w:r>
        <w:t xml:space="preserve">Relatório Técnico — Sprint 2</w:t>
      </w:r>
    </w:p>
    <w:p w:rsidR="000B0515" w:rsidRDefault="000B0515">
      <w:pPr>
        <w:spacing w:after="80"/>
      </w:pPr>
    </w:p>
    <w:p w:rsidR="000B0515" w:rsidRDefault="005004C1">
      <w:pPr>
        <w:spacing w:after="160"/>
      </w:pPr>
      <w:r>
        <w:rPr>
          <w:b/>
          <w:bCs/>
        </w:rPr>
        <w:t xml:space="preserve">Período: </w:t>
      </w:r>
      <w:r>
        <w:rPr>
          <w:b w:val="false"/>
        </w:rPr>
        <w:t xml:space="preserve">29/set a 26/out  ·  Meta da Sprint: construir as análises centrais no Power BI — setores de atividade, porte e situação dos estabelecimentos e cruzamento RAIS × PIB — e preparar a base geocodificada com a região oficial de cada estabelecimento para o mapa da cidade.</w:t>
      </w:r>
    </w:p>
    <w:p w:rsidR="000B0515" w:rsidRDefault="005004C1">
      <w:pPr>
        <w:pStyle w:val="Ttulo2"/>
      </w:pPr>
      <w:r>
        <w:t xml:space="preserve">O que foi entregue</w:t>
      </w:r>
    </w:p>
    <w:p w:rsidR="000B0515" w:rsidRDefault="005004C1">
      <w:pPr>
        <w:spacing w:after="160"/>
      </w:pPr>
      <w:r>
        <w:t xml:space="preserve">O painel Power BI (PowerbiATT_Api_Sprint2.pbix) ganhou quatro páginas: Notas Metodológicas, KPIs e Mapa, Setor de Atividades (CNAE) e PIB e Emprego. A base RAIS de São José dos Campos (47.339 estabelecimentos) foi classificada pela CNAE de seção a subclasse (CNAE_RAIS_SJC_2024.xlsx) e a série do PIB dos Municípios foi tratada no Colab de 2002 a 2023 (IBGE_PIB_SJC_Observatorio.xlsx).</w:t>
      </w:r>
    </w:p>
    <w:p w:rsidR="000B0515" w:rsidRDefault="005004C1">
      <w:pPr>
        <w:spacing w:after="160"/>
      </w:pPr>
      <w:r>
        <w:t xml:space="preserve">Os 3.677 CEPs da base foram geocodificados no nível de bairro e cada estabelecimento recebeu a região oficial do município. Tudo foi reunido numa base única para o Power BI (RAIS_SJC_2024_PowerBI.csv, 46 colunas), validada pela CNAE 2.3 oficial e acompanhada de um guia de importação e de um relatório da base.</w:t>
      </w:r>
    </w:p>
    <w:p w:rsidR="000B0515" w:rsidRDefault="005004C1">
      <w:pPr>
        <w:pStyle w:val="Ttulo2"/>
      </w:pPr>
      <w:r>
        <w:t xml:space="preserve">Indicadores da 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600"/>
        <w:gridCol w:w="1800"/>
      </w:tblGrid>
      <w:tr>
        <w:trPr>
          <w:tblHeader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Indicador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Valor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Referência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Estabelecimentos (RAIS 2024)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47.339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DEC-002, DEC-003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Com vínculos ativos em 31/12/2024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15.058 (31,8%)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DEC-019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RAIS negativa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30.470 (64,4%)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DEC-001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Vínculos ativos em 31/12/2024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206.717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Estabelecimentos com região oficial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47.334 (99,99%)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DEC-015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Estabelecimentos com ponto no mapa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37.084 (78,3%)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DEC-017, DEC-018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Vínculos em atividades de alta e média-alta tecnologia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28.804 (13,9%)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DEC-021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PIB de São José dos Campos em 2023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R$ 61,4 bilhões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IBGE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Indústria: participação no emprego privado × no valor adicionado privado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24,7% × 45,8% (índice 1,86)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DEC-006/009, DEC-013</w:t>
            </w:r>
          </w:p>
        </w:tc>
      </w:tr>
    </w:tbl>
    <w:p w:rsidR="000B0515" w:rsidRDefault="005004C1">
      <w:pPr>
        <w:pStyle w:val="Ttulo2"/>
      </w:pPr>
      <w:r>
        <w:t xml:space="preserve">Metodologia e tecnologias utilizadas</w:t>
      </w:r>
    </w:p>
    <w:p w:rsidR="000B0515" w:rsidRDefault="005004C1">
      <w:pPr>
        <w:pStyle w:val="PargrafodaLista"/>
        <w:numPr>
          <w:ilvl w:val="0"/>
          <w:numId w:val="1"/>
        </w:numPr>
        <w:spacing w:after="60"/>
      </w:pPr>
      <w:r>
        <w:rPr>
          <w:b/>
          <w:bCs/>
        </w:rPr>
        <w:t xml:space="preserve">Fontes de dados: </w:t>
      </w:r>
      <w:r>
        <w:rPr>
          <w:b w:val="false"/>
        </w:rPr>
        <w:t xml:space="preserve">RAIS Estabelecimentos 2024 (MTE); PIB dos Municípios do IBGE (PIB 2002–2023, valor adicionado por setor até 2021); CNAE 2.3 (IBGE/CONCLA); divisão regional do Plano Diretor da Prefeitura de São José dos Campos.</w:t>
      </w:r>
    </w:p>
    <w:p w:rsidR="000B0515" w:rsidRDefault="005004C1">
      <w:pPr>
        <w:pStyle w:val="PargrafodaLista"/>
        <w:numPr>
          <w:ilvl w:val="0"/>
          <w:numId w:val="1"/>
        </w:numPr>
        <w:spacing w:after="60"/>
      </w:pPr>
      <w:r>
        <w:rPr>
          <w:b/>
          <w:bCs/>
        </w:rPr>
        <w:t xml:space="preserve">Ferramentas: </w:t>
      </w:r>
      <w:r>
        <w:rPr>
          <w:b w:val="false"/>
        </w:rPr>
        <w:t xml:space="preserve">Google Colab + Python (pandas) para tratamento, junções e validações; BrasilAPI e Nominatim (OpenStreetMap) para a geocodificação dos CEPs; Power BI para modelagem e visualização.</w:t>
      </w:r>
    </w:p>
    <w:p w:rsidR="000B0515" w:rsidRDefault="005004C1">
      <w:pPr>
        <w:pStyle w:val="PargrafodaLista"/>
        <w:numPr>
          <w:ilvl w:val="0"/>
          <w:numId w:val="1"/>
        </w:numPr>
        <w:spacing w:after="60"/>
      </w:pPr>
      <w:r>
        <w:rPr>
          <w:b/>
          <w:bCs/>
        </w:rPr>
        <w:t xml:space="preserve">Etapas do tratamento: </w:t>
      </w:r>
      <w:r>
        <w:rPr>
          <w:b w:val="false"/>
        </w:rPr>
        <w:t xml:space="preserve">junção da base RAIS com a geocodificação pelo CEP (muitos para um, sem duplicar linhas); classificação da região pelo bairro, validada pelo setor do CEP; verificação dos pontos contra o centro da região; substituição das descrições pela CNAE 2.3; criação das classificações de tipo de atividade, intensidade tecnológica (OCDE), porte (SEBRAE) e setor destaque; releitura do arquivo final para conferir totais.</w:t>
      </w:r>
    </w:p>
    <w:p w:rsidR="000B0515" w:rsidRDefault="005004C1">
      <w:pPr>
        <w:pStyle w:val="Ttulo2"/>
      </w:pPr>
      <w:r>
        <w:t xml:space="preserve">Resposta ao feedback da Sprint 1</w:t>
      </w:r>
    </w:p>
    <w:p w:rsidR="000B0515" w:rsidRDefault="005004C1">
      <w:pPr>
        <w:spacing w:after="160"/>
      </w:pPr>
      <w:r>
        <w:t xml:space="preserve">O orientador pediu para esclarecer se os 64,37% de RAIS negativa poderiam ser erro de filtragem. Não são: o extrato contém apenas o município 354990 (100% das 47.339 linhas). Desses 30.470 estabelecimentos, 13.604 declararam atividade no ano — estavam funcionando, mas sem empregados formais. Outros 1.758 tiveram empregados no ano e fecharam 2024 com zero vínculos, e 53 têm um indicador (valor 2) fora do dicionário da RAIS (DEC-011, DEC-019).</w:t>
      </w:r>
    </w:p>
    <w:p w:rsidR="000B0515" w:rsidRDefault="005004C1">
      <w:pPr>
        <w:pStyle w:val="Ttulo2"/>
      </w:pPr>
      <w:r>
        <w:t xml:space="preserve">Dificuldades encontradas</w:t>
      </w:r>
    </w:p>
    <w:p w:rsidR="000B0515" w:rsidRDefault="005004C1">
      <w:pPr>
        <w:spacing w:after="160"/>
      </w:pPr>
      <w:r>
        <w:t xml:space="preserve">O arquivo de CEPs geocodificados teve todas as coordenadas corrompidas ao ser salvo no Excel em português (o ponto decimal virou separador de milhar), o que exigiu usar outra fonte das coordenadas (DEC-016). Nove bairros foram geocodificados num homônimo em outra parte da cidade (DEC-017), e 10.255 estabelecimentos ficaram sem ponto no mapa por estarem em CEPs de avenida ou em bairros não encontrados (DEC-018).</w:t>
      </w:r>
    </w:p>
    <w:p w:rsidR="000B0515" w:rsidRDefault="005004C1">
      <w:pPr>
        <w:spacing w:after="160"/>
      </w:pPr>
      <w:r>
        <w:t xml:space="preserve">A divisão regional oficial não existia em nenhum arquivo e o PDF do Plano Diretor não traz os bairros da Região Norte (DEC-015). A RAIS disponível tem um único ano e não traz datas de admissão, o que impede mostrar a evolução dos setores (US08) e limita a US10. Por fim, o IBGE só detalha o valor adicionado por setor até 2021, o que obrigou a comparar anos diferentes no cruzamento com o emprego (DEC-006/009).</w:t>
      </w:r>
    </w:p>
    <w:p w:rsidR="000B0515" w:rsidRDefault="005004C1">
      <w:pPr>
        <w:pStyle w:val="Ttulo2"/>
      </w:pPr>
      <w:r>
        <w:t xml:space="preserve">Decisões técnicas relevantes</w:t>
      </w:r>
    </w:p>
    <w:p w:rsidR="000B0515" w:rsidRDefault="005004C1">
      <w:pPr>
        <w:spacing w:after="160"/>
      </w:pPr>
      <w:r>
        <w:t xml:space="preserve">As decisões da Sprint 2 foram registradas no Log de Decisões de Dados (06-Decisoes-de-Dados): DEC-006/009 (valor adicionado por setor até 2021 e cruzamento com o emprego de 2024), DEC-008 (correção pelo IPCA), DEC-011 (indicador 2 de RAIS negativa), DEC-013 (administração pública fora do cruzamento), DEC-014 (setores pela Seção CNAE), DEC-015 (região oficial), DEC-016 a DEC-018 (coordenadas e CEPs sem localização), DEC-019 (situação detalhada), DEC-020 (descrições da CNAE 2.3), DEC-021 (classificações derivadas) e DEC-022 (base única e mapa por coordenadas). As DEC-007, 010 e 012, citadas pela equipe, ainda precisam ser transcritas para o log.</w:t>
      </w:r>
    </w:p>
    <w:p w:rsidR="000B0515" w:rsidRDefault="005004C1">
      <w:pPr>
        <w:pStyle w:val="Ttulo2"/>
      </w:pPr>
      <w:r>
        <w:t xml:space="preserve">Status das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00"/>
        <w:gridCol w:w="14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ID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Situação ao fim da Sprint 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US06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Base com região oficial (99,99%) e ponto no mapa (78%); mapa do painel ainda localiza pelo texto do CEP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Parcial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US07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Rankings Top 10 de setores por estabelecimentos e por empregos CLT (agregado — DEC-004)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Concluído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US08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Setores predominantes e participação; falta série histórica para mostrar evolução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Parcial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US09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Página PIB e Emprego com PIB 2002–2023, valor adicionado por setor e produtividade relativa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Concluído</w:t>
            </w:r>
          </w:p>
        </w:tc>
      </w:tr>
    </w:tbl>
    <w:p w:rsidR="000B0515" w:rsidRDefault="005004C1">
      <w:pPr>
        <w:pStyle w:val="Ttulo2"/>
      </w:pPr>
      <w:r>
        <w:t xml:space="preserve">Próximos passos (Sprint 3)</w:t>
      </w:r>
    </w:p>
    <w:p w:rsidR="000B0515" w:rsidRDefault="005004C1">
      <w:pPr>
        <w:spacing w:after="160"/>
      </w:pPr>
      <w:r>
        <w:t xml:space="preserve">Importar a base única no painel e trocar o mapa para latitude/longitude, corrigindo os subtítulos dos cartões da página KPIs. Pedir ao cliente a tabela ou o shapefile oficial das regiões e a decisão sobre a fonte para a evolução dos setores (US08) e as contratações recentes (US10). Geocodificar os bairros restantes, criar os visuais por região, tipo de atividade e intensidade tecnológica e consolidar o dashboard, o relatório final e a apresentação da Feira de Soluções (US11).</w:t>
      </w:r>
    </w:p>
    <w:sectPr w:rsidR="000B051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5004C1">
      <w:r>
        <w:separator/>
      </w:r>
    </w:p>
  </w:endnote>
  <w:endnote w:type="continuationSeparator" w:id="0">
    <w:p w:rsidR="00000000" w:rsidRDefault="00500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0515" w:rsidRDefault="005004C1">
    <w:pPr>
      <w:jc w:val="center"/>
    </w:pPr>
    <w:r>
      <w:rPr>
        <w:color w:val="595959"/>
        <w:sz w:val="16"/>
        <w:szCs w:val="16"/>
      </w:rPr>
      <w:t xml:space="preserve">Observatório do Ecossistema Industrial e de Serviços de São José dos Campos —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5004C1">
      <w:r>
        <w:separator/>
      </w:r>
    </w:p>
  </w:footnote>
  <w:footnote w:type="continuationSeparator" w:id="0">
    <w:p w:rsidR="00000000" w:rsidRDefault="005004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BF0C0E"/>
    <w:multiLevelType w:val="hybridMultilevel"/>
    <w:tmpl w:val="58E48A2C"/>
    <w:lvl w:ilvl="0" w:tplc="1D824544">
      <w:start w:val="1"/>
      <w:numFmt w:val="bullet"/>
      <w:lvlText w:val="●"/>
      <w:lvlJc w:val="left"/>
      <w:pPr>
        <w:ind w:left="720" w:hanging="360"/>
      </w:pPr>
    </w:lvl>
    <w:lvl w:ilvl="1" w:tplc="A260E6F2">
      <w:start w:val="1"/>
      <w:numFmt w:val="bullet"/>
      <w:lvlText w:val="○"/>
      <w:lvlJc w:val="left"/>
      <w:pPr>
        <w:ind w:left="1440" w:hanging="360"/>
      </w:pPr>
    </w:lvl>
    <w:lvl w:ilvl="2" w:tplc="4F689860">
      <w:start w:val="1"/>
      <w:numFmt w:val="bullet"/>
      <w:lvlText w:val="■"/>
      <w:lvlJc w:val="left"/>
      <w:pPr>
        <w:ind w:left="2160" w:hanging="360"/>
      </w:pPr>
    </w:lvl>
    <w:lvl w:ilvl="3" w:tplc="459006F2">
      <w:start w:val="1"/>
      <w:numFmt w:val="bullet"/>
      <w:lvlText w:val="●"/>
      <w:lvlJc w:val="left"/>
      <w:pPr>
        <w:ind w:left="2880" w:hanging="360"/>
      </w:pPr>
    </w:lvl>
    <w:lvl w:ilvl="4" w:tplc="E00CCA84">
      <w:start w:val="1"/>
      <w:numFmt w:val="bullet"/>
      <w:lvlText w:val="○"/>
      <w:lvlJc w:val="left"/>
      <w:pPr>
        <w:ind w:left="3600" w:hanging="360"/>
      </w:pPr>
    </w:lvl>
    <w:lvl w:ilvl="5" w:tplc="C472BEA8">
      <w:start w:val="1"/>
      <w:numFmt w:val="bullet"/>
      <w:lvlText w:val="■"/>
      <w:lvlJc w:val="left"/>
      <w:pPr>
        <w:ind w:left="4320" w:hanging="360"/>
      </w:pPr>
    </w:lvl>
    <w:lvl w:ilvl="6" w:tplc="E7E85028">
      <w:start w:val="1"/>
      <w:numFmt w:val="bullet"/>
      <w:lvlText w:val="●"/>
      <w:lvlJc w:val="left"/>
      <w:pPr>
        <w:ind w:left="5040" w:hanging="360"/>
      </w:pPr>
    </w:lvl>
    <w:lvl w:ilvl="7" w:tplc="7D023BBC">
      <w:start w:val="1"/>
      <w:numFmt w:val="bullet"/>
      <w:lvlText w:val="●"/>
      <w:lvlJc w:val="left"/>
      <w:pPr>
        <w:ind w:left="5760" w:hanging="360"/>
      </w:pPr>
    </w:lvl>
    <w:lvl w:ilvl="8" w:tplc="20A601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515"/>
    <w:rsid w:val="000B0515"/>
    <w:rsid w:val="0050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55BF2"/>
  <w15:docId w15:val="{03104EC3-67F6-46AE-B6F5-53C8A1A8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000000"/>
      </w:pBdr>
      <w:spacing w:before="32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20"/>
    </w:pPr>
    <w:rPr>
      <w:b/>
      <w:bCs/>
      <w:sz w:val="40"/>
      <w:szCs w:val="40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582</Words>
  <Characters>3147</Characters>
  <Application>Microsoft Office Word</Application>
  <DocSecurity>0</DocSecurity>
  <Lines>26</Lines>
  <Paragraphs>7</Paragraphs>
  <ScaleCrop>false</ScaleCrop>
  <Company>CPS</Company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Fatec</cp:lastModifiedBy>
  <cp:revision>2</cp:revision>
  <dcterms:created xsi:type="dcterms:W3CDTF">2026-09-22T11:21:00Z</dcterms:created>
  <dcterms:modified xsi:type="dcterms:W3CDTF">2026-09-23T00:25:00Z</dcterms:modified>
</cp:coreProperties>
</file>