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Checklist de Definition of Ready (DoR)</w:t>
      </w:r>
    </w:p>
    <w:p>
      <w:pPr>
        <w:spacing w:after="120"/>
      </w:pPr>
      <w:r>
        <w:rPr>
          <w:b/>
          <w:bCs/>
          <w:color w:val="000000"/>
          <w:sz w:val="24"/>
          <w:szCs w:val="24"/>
        </w:rPr>
        <w:t xml:space="preserve">Modelo reutilizável para todas as sprints — Sprint 1 cumprida em 28/09/2026 · Sprint 2 cumprida em 26/10/2026</w:t>
      </w:r>
    </w:p>
    <w:p>
      <w:pPr>
        <w:spacing w:after="80"/>
      </w:pP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Baseado no Anexo III do Guia de Avaliação API 2025-2. Preencher para cada item de trabalho antes de iniciar a execução. As marcações gerais abaixo valem para as Sprints 1 e 2; a cada nova sprint, desmarcar e reavaliar item a item na Sprint Planning.</w:t>
      </w:r>
    </w:p>
    <w:p>
      <w:pPr>
        <w:pStyle w:val="Heading2"/>
      </w:pPr>
      <w:r>
        <w:t xml:space="preserve">Sobre a User Story / tarefa</w:t>
      </w:r>
    </w:p>
    <w:p>
      <w:pPr>
        <w:spacing w:after="60"/>
      </w:pPr>
      <w:r>
        <w:rPr>
          <w:color w:val="000000"/>
        </w:rPr>
        <w:t xml:space="preserve">☑ Tem título claro, descrição bem definida e objetivo compreendido</w:t>
      </w:r>
    </w:p>
    <w:p>
      <w:pPr>
        <w:spacing w:after="60"/>
      </w:pPr>
      <w:r>
        <w:rPr>
          <w:color w:val="000000"/>
        </w:rPr>
        <w:t xml:space="preserve">☑ Tem critérios de aceitação escritos</w:t>
      </w:r>
    </w:p>
    <w:p>
      <w:pPr>
        <w:spacing w:after="60"/>
      </w:pPr>
      <w:r>
        <w:rPr>
          <w:color w:val="000000"/>
        </w:rPr>
        <w:t xml:space="preserve">☑ Tem regras de negócio claras</w:t>
      </w:r>
    </w:p>
    <w:p>
      <w:pPr>
        <w:spacing w:after="60"/>
      </w:pPr>
      <w:r>
        <w:rPr>
          <w:color w:val="000000"/>
        </w:rPr>
        <w:t xml:space="preserve">☑ Foi estimada pela equipe</w:t>
      </w:r>
    </w:p>
    <w:p>
      <w:pPr>
        <w:spacing w:after="60"/>
      </w:pPr>
      <w:r>
        <w:rPr>
          <w:color w:val="000000"/>
        </w:rPr>
        <w:t xml:space="preserve">☑ Sem dependências bloqueadoras</w:t>
      </w:r>
    </w:p>
    <w:p>
      <w:pPr>
        <w:spacing w:after="60"/>
      </w:pPr>
      <w:r>
        <w:rPr>
          <w:color w:val="000000"/>
        </w:rPr>
        <w:t xml:space="preserve">☑ Compreensão validada com o time</w:t>
      </w:r>
    </w:p>
    <w:p>
      <w:pPr>
        <w:pStyle w:val="Heading2"/>
      </w:pPr>
      <w:r>
        <w:t xml:space="preserve">Sobre artefatos correlatos</w:t>
      </w:r>
    </w:p>
    <w:p>
      <w:pPr>
        <w:spacing w:after="60"/>
      </w:pPr>
      <w:r>
        <w:rPr>
          <w:color w:val="000000"/>
        </w:rPr>
        <w:t xml:space="preserve">☑ Design/documentação disponível</w:t>
      </w:r>
    </w:p>
    <w:p>
      <w:pPr>
        <w:spacing w:after="60"/>
      </w:pPr>
      <w:r>
        <w:rPr>
          <w:color w:val="000000"/>
        </w:rPr>
        <w:t xml:space="preserve">☑ Regras de negócio detalhadas (texto ou diagrama)</w:t>
      </w:r>
    </w:p>
    <w:p>
      <w:pPr>
        <w:spacing w:after="60"/>
      </w:pPr>
      <w:r>
        <w:rPr>
          <w:color w:val="000000"/>
        </w:rPr>
        <w:t xml:space="preserve">☑ Modelo de dados disponível</w:t>
      </w:r>
    </w:p>
    <w:p>
      <w:pPr>
        <w:spacing w:after="60"/>
      </w:pPr>
      <w:r>
        <w:rPr>
          <w:color w:val="000000"/>
        </w:rPr>
        <w:t xml:space="preserve">☑ Estratégia de testes definida</w:t>
      </w:r>
    </w:p>
    <w:p>
      <w:pPr>
        <w:pStyle w:val="Heading2"/>
      </w:pPr>
      <w:r>
        <w:t xml:space="preserve">Itens específicos da Sprint 1 (cumpridos)</w:t>
      </w:r>
    </w:p>
    <w:p>
      <w:pPr>
        <w:spacing w:after="60"/>
      </w:pPr>
      <w:r>
        <w:rPr>
          <w:color w:val="000000"/>
        </w:rPr>
        <w:t xml:space="preserve">☑ Fonte de dados da RAIS identificada e acessível (RAIS_ESTAB_PUB)</w:t>
      </w:r>
    </w:p>
    <w:p>
      <w:pPr>
        <w:spacing w:after="60"/>
      </w:pPr>
      <w:r>
        <w:rPr>
          <w:color w:val="000000"/>
        </w:rPr>
        <w:t xml:space="preserve">☑ Código do município de São José dos Campos confirmado (354990)</w:t>
      </w:r>
    </w:p>
    <w:p>
      <w:pPr>
        <w:spacing w:after="60"/>
      </w:pPr>
      <w:r>
        <w:rPr>
          <w:color w:val="000000"/>
        </w:rPr>
        <w:t xml:space="preserve">☑ Ambiente do Google Colab configurado com as bibliotecas necessárias (pandas, csv)</w:t>
      </w:r>
    </w:p>
    <w:p>
      <w:pPr>
        <w:spacing w:after="60"/>
      </w:pPr>
      <w:r>
        <w:rPr>
          <w:color w:val="000000"/>
        </w:rPr>
        <w:t xml:space="preserve">☑ Acesso ao Power BI Desktop/Service configurado para todos os membros</w:t>
      </w:r>
    </w:p>
    <w:p>
      <w:pPr>
        <w:pStyle w:val="Heading2"/>
      </w:pPr>
      <w:r>
        <w:t xml:space="preserve">Itens específicos da Sprint 2 (cumpridos)</w:t>
      </w:r>
    </w:p>
    <w:p>
      <w:pPr>
        <w:spacing w:after="60"/>
      </w:pPr>
      <w:r>
        <w:rPr>
          <w:color w:val="000000"/>
        </w:rPr>
        <w:t xml:space="preserve">☑ Campo de CEP validado para geocodificação: 3.677 CEPs processados; 99,99% dos estabelecimentos com região oficial e 78% com ponto no mapa (o restante segue na Sprint 3 — US06)</w:t>
      </w:r>
    </w:p>
    <w:p>
      <w:pPr>
        <w:spacing w:after="60"/>
      </w:pPr>
      <w:r>
        <w:rPr>
          <w:color w:val="000000"/>
        </w:rPr>
        <w:t xml:space="preserve">☑ Série do PIB dos Municípios (IBGE 2002–2023) baixada, tratada no Colab e conferida (IBGE_PIB_SJC_Observatorio.xlsx)</w:t>
      </w:r>
    </w:p>
    <w:p>
      <w:pPr>
        <w:spacing w:after="60"/>
      </w:pPr>
      <w:r>
        <w:rPr>
          <w:color w:val="000000"/>
        </w:rPr>
        <w:t xml:space="preserve">☑ Acesso de todos os membros ao arquivo Power BI compartilhado (PowerbiATT_Api_Sprint2.pbix)</w:t>
      </w:r>
    </w:p>
    <w:p>
      <w:pPr>
        <w:pStyle w:val="Heading2"/>
      </w:pPr>
      <w:r>
        <w:t xml:space="preserve">Itens a confirmar para a Sprint 3</w:t>
      </w:r>
    </w:p>
    <w:p>
      <w:pPr>
        <w:spacing w:after="60"/>
      </w:pPr>
      <w:r>
        <w:rPr>
          <w:color w:val="000000"/>
        </w:rPr>
        <w:t xml:space="preserve">☐ Lista oficial de bairros por região (incluindo a Região Norte) ou shapefile das regiões, fornecido pelo cliente</w:t>
      </w:r>
    </w:p>
    <w:p>
      <w:pPr>
        <w:spacing w:after="60"/>
      </w:pPr>
      <w:r>
        <w:rPr>
          <w:color w:val="000000"/>
        </w:rPr>
        <w:t xml:space="preserve">☐ Fonte definida com o cliente para a evolução dos setores (US08) e as contratações recentes (US10): RAIS de anos anteriores ou RAIS Vínculos</w:t>
      </w:r>
    </w:p>
    <w:p>
      <w:pPr>
        <w:spacing w:after="60"/>
      </w:pPr>
      <w:r>
        <w:rPr>
          <w:color w:val="000000"/>
        </w:rPr>
        <w:t xml:space="preserve">☐ Base única RAIS_SJC_2024_PowerBI.csv importada no painel por todos os membros</w:t>
      </w:r>
    </w:p>
    <w:p>
      <w:pPr>
        <w:spacing w:after="60"/>
      </w:pPr>
      <w:r>
        <w:rPr>
          <w:color w:val="000000"/>
        </w:rPr>
        <w:t xml:space="preserve">☐ Resposta do cliente sobre a base identificada (DEC-004) e o indicador 2 de RAIS negativa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Observatório do Ecossistema Industrial e de Serviços de São José dos Campos —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4"/>
      </w:pBdr>
      <w:spacing w:after="160" w:before="32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i w:val="false"/>
      <w:iCs w:val="false"/>
      <w:color w:val="00000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2026-09-22T11:21:12.467Z</dcterms:created>
  <dcterms:modified xsi:type="dcterms:W3CDTF">2026-09-22T11:21:12.467Z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