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b/>
          <w:bCs/>
          <w:sz w:val="38"/>
          <w:szCs w:val="38"/>
        </w:rPr>
        <w:t xml:space="preserve">Observatório do Ecossistema Industrial</w:t>
      </w:r>
    </w:p>
    <w:p>
      <w:pPr>
        <w:spacing w:after="60"/>
        <w:jc w:val="center"/>
      </w:pPr>
      <w:r>
        <w:rPr>
          <w:b/>
          <w:bCs/>
          <w:sz w:val="38"/>
          <w:szCs w:val="38"/>
        </w:rPr>
        <w:t xml:space="preserve">e de Serviços de São José dos Campos</w:t>
      </w:r>
    </w:p>
    <w:p>
      <w:pPr>
        <w:spacing w:after="420"/>
        <w:jc w:val="center"/>
      </w:pPr>
      <w:r>
        <w:rPr>
          <w:color w:val="52514E"/>
          <w:sz w:val="26"/>
          <w:szCs w:val="26"/>
        </w:rPr>
        <w:t xml:space="preserve">Relatório Detalhado da Sprint 1 — passo a passo do que foi feito</w:t>
      </w:r>
    </w:p>
    <w:p>
      <w:pPr>
        <w:spacing w:after="40"/>
        <w:jc w:val="center"/>
      </w:pPr>
      <w:r>
        <w:rPr>
          <w:sz w:val="22"/>
          <w:szCs w:val="22"/>
        </w:rPr>
        <w:t xml:space="preserve">Disciplina: API — Aprendizagem por Projetos Integrados</w:t>
      </w:r>
    </w:p>
    <w:p>
      <w:pPr>
        <w:spacing w:after="40"/>
        <w:jc w:val="center"/>
      </w:pPr>
      <w:r>
        <w:rPr>
          <w:sz w:val="22"/>
          <w:szCs w:val="22"/>
        </w:rPr>
        <w:t xml:space="preserve">Curso de Logística — Fatec São José dos Campos</w:t>
      </w:r>
    </w:p>
    <w:p>
      <w:pPr>
        <w:spacing w:after="40"/>
        <w:jc w:val="center"/>
      </w:pPr>
      <w:r>
        <w:rPr>
          <w:sz w:val="22"/>
          <w:szCs w:val="22"/>
        </w:rPr>
        <w:t xml:space="preserve">Aluno responsável: Juliano Souza Santana</w:t>
      </w:r>
    </w:p>
    <w:p>
      <w:pPr>
        <w:spacing w:after="40"/>
        <w:jc w:val="center"/>
      </w:pPr>
      <w:r>
        <w:rPr>
          <w:sz w:val="22"/>
          <w:szCs w:val="22"/>
        </w:rPr>
        <w:t xml:space="preserve">Orientadores: Prof. José Jaétis (M2) · Prof. Marcus (P2)</w:t>
      </w:r>
    </w:p>
    <w:p>
      <w:pPr>
        <w:spacing w:after="40"/>
        <w:jc w:val="center"/>
      </w:pPr>
      <w:r>
        <w:rPr>
          <w:sz w:val="22"/>
          <w:szCs w:val="22"/>
        </w:rPr>
        <w:t xml:space="preserve">Cliente: CADI e Secretaria de Desenvolvimento Econômico de São José dos Campos</w:t>
      </w:r>
    </w:p>
    <w:p>
      <w:pPr>
        <w:spacing w:before="380"/>
        <w:jc w:val="center"/>
      </w:pPr>
      <w:r>
        <w:rPr>
          <w:color w:val="898781"/>
          <w:sz w:val="20"/>
          <w:szCs w:val="20"/>
        </w:rPr>
        <w:t xml:space="preserve">Documento elaborado em 22 de setembro de 2026 · Entrega da Sprint 1: 28/09/2026</w:t>
      </w:r>
    </w:p>
    <w:p>
      <w:r>
        <w:br w:type="page"/>
      </w:r>
    </w:p>
    <w:p>
      <w:pPr>
        <w:pStyle w:val="Heading1"/>
        <w:spacing w:after="160" w:before="380"/>
      </w:pPr>
      <w:r>
        <w:t xml:space="preserve">1. Introdução e Objetivo da Sprint 1</w:t>
      </w:r>
    </w:p>
    <w:p>
      <w:pPr>
        <w:spacing w:after="160"/>
      </w:pPr>
      <w:r>
        <w:t xml:space="preserve">Este relatório descreve, em detalhe, tudo o que foi realizado na Sprint 1 do projeto do Observatório do Ecossistema Industrial e de Serviços de São José dos Campos. O objetivo é que qualquer leitor — em especial outro estudante — entenda não apenas o que foi entregue, mas como cada etapa foi executada e para que ela serve dentro do projeto como um todo.</w:t>
      </w:r>
    </w:p>
    <w:p>
      <w:pPr>
        <w:spacing w:after="160"/>
      </w:pPr>
      <w:r>
        <w:t xml:space="preserve">A Sprint 1 é o primeiro ciclo de trabalho do projeto (de um total de 3 sprints) e teve como foco principal: preparar a base técnica do projeto, obter e tratar a primeira versão dos dados da RAIS, e formalizar toda a documentação inicial exigida pela metodologia Scrum adotada.</w:t>
      </w:r>
    </w:p>
    <w:p>
      <w:pPr>
        <w:pStyle w:val="Heading1"/>
        <w:spacing w:after="160" w:before="380"/>
      </w:pPr>
      <w:r>
        <w:t xml:space="preserve">2. Planejamento da Sprint</w:t>
      </w:r>
    </w:p>
    <w:p>
      <w:pPr>
        <w:spacing w:after="160"/>
      </w:pPr>
      <w:r>
        <w:t xml:space="preserve">Antes de iniciar o desenvolvimento, o trabalho da sprint foi organizado em um Backlog da Sprint — um recorte do Backlog do Produto com as User Stories escolhidas para esse ciclo. Para que uma User Story pudesse entrar em desenvolvimento, ela precisava atender ao DoR (Definition of Ready), o checklist de prontidão da equipe (por exemplo, ter uma fonte de dados definida e um objetivo claro).</w:t>
      </w:r>
    </w:p>
    <w:tbl>
      <w:tblPr>
        <w:tblW w:type="dxa" w:w="935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E1E0D9" w:sz="2"/>
          <w:insideV w:val="single" w:color="E1E0D9" w:sz="2"/>
        </w:tblBorders>
      </w:tblPr>
      <w:tblGrid>
        <w:gridCol w:w="1500"/>
        <w:gridCol w:w="5850"/>
        <w:gridCol w:w="2000"/>
      </w:tblGrid>
      <w:tr>
        <w:trPr>
          <w:tblHeader/>
        </w:trPr>
        <w:tc>
          <w:tcPr>
            <w:tcW w:type="dxa" w:w="15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585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 ao final da Sprint 1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US01</w:t>
            </w:r>
          </w:p>
        </w:tc>
        <w:tc>
          <w:tcPr>
            <w:tcW w:type="dxa" w:w="58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detalhada neste registro — consultar o documento Backlog do Produto para a redação completa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US02</w:t>
            </w:r>
          </w:p>
        </w:tc>
        <w:tc>
          <w:tcPr>
            <w:tcW w:type="dxa" w:w="58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detalhada neste registro — consultar o documento Backlog do Produto para a redação completa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US03</w:t>
            </w:r>
          </w:p>
        </w:tc>
        <w:tc>
          <w:tcPr>
            <w:tcW w:type="dxa" w:w="58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Tratamento de inconsistências dos dados da RAIS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US04</w:t>
            </w:r>
          </w:p>
        </w:tc>
        <w:tc>
          <w:tcPr>
            <w:tcW w:type="dxa" w:w="58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detalhada neste registro — consultar o documento Backlog do Produto para a redação completa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US05</w:t>
            </w:r>
          </w:p>
        </w:tc>
        <w:tc>
          <w:tcPr>
            <w:tcW w:type="dxa" w:w="58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detalhada neste registro — consultar o documento Backlog do Produto para a redação completa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</w:tbl>
    <w:p>
      <w:pPr>
        <w:spacing w:after="160"/>
      </w:pPr>
      <w:r>
        <w:t xml:space="preserve">Nota: este relatório foi elaborado a partir do histórico de decisões e entregas do projeto. O texto integral de US01, US02, US04 e US05 está no documento Backlog do Produto (versão v3); aqui o foco é detalhar como o trabalho técnico da sprint foi executado.</w:t>
      </w:r>
    </w:p>
    <w:p>
      <w:pPr>
        <w:pStyle w:val="Heading1"/>
        <w:spacing w:after="160" w:before="380"/>
      </w:pPr>
      <w:r>
        <w:t xml:space="preserve">3. Execução Passo a Passo</w:t>
      </w:r>
    </w:p>
    <w:p>
      <w:pPr>
        <w:spacing w:after="160"/>
      </w:pPr>
      <w:r>
        <w:t xml:space="preserve">O diagrama abaixo resume a sequência de trabalho da Sprint 1. Cada etapa é detalhada nas subseções seguintes.</w:t>
      </w:r>
    </w:p>
    <w:p>
      <w:pPr>
        <w:spacing w:after="40" w:before="220"/>
        <w:jc w:val="center"/>
      </w:pPr>
      <w:r>
        <w:drawing>
          <wp:inline distT="0" distB="0" distL="0" distR="0">
            <wp:extent cx="40957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2514E"/>
          <w:sz w:val="18"/>
          <w:szCs w:val="18"/>
        </w:rPr>
        <w:t xml:space="preserve">Diagrama 1 — Fluxo de execução da Sprint 1, do ambiente de trabalho à entrega da documentação.</w:t>
      </w:r>
    </w:p>
    <w:p>
      <w:pPr>
        <w:pStyle w:val="Heading2"/>
        <w:spacing w:after="120" w:before="280"/>
      </w:pPr>
      <w:r>
        <w:t xml:space="preserve">3.1 Preparar o ambiente de trabalho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configuração de um notebook no Google Colab, um ambiente de execução de código Python na nuvem.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criação do notebook e importação das bibliotecas Python necessárias para leitura e manipulação de dados tabulares.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o Google Colab foi escolhido por não exigir instalação local, permitindo que qualquer pessoa (aluno, orientador ou avaliador) execute e revise o mesmo código a partir de qualquer computador com acesso à internet.</w:t>
      </w:r>
    </w:p>
    <w:p>
      <w:pPr>
        <w:pStyle w:val="Heading2"/>
        <w:spacing w:after="120" w:before="280"/>
      </w:pPr>
      <w:r>
        <w:t xml:space="preserve">3.2 Carregar a base bruta da RAIS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importação do arquivo de dados brutos da RAIS (Relação Anual de Informações Sociais), disponibilizado pelo Ministério do Trabalho e Emprego.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leitura do arquivo diretamente no notebook Python, carregando os registros em uma estrutura de dados tabular para permitir filtros e análises.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a RAIS é a fonte primária de informações sobre estabelecimentos e vínculos empregatícios no Brasil, sendo a base de todo o restante do projeto — sem essa carga inicial, nenhuma análise seria possível.</w:t>
      </w:r>
    </w:p>
    <w:p>
      <w:pPr>
        <w:pStyle w:val="Heading2"/>
        <w:spacing w:after="120" w:before="280"/>
      </w:pPr>
      <w:r>
        <w:t xml:space="preserve">3.3 Filtrar por município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filtragem dos registros da base nacional da RAIS para manter apenas os estabelecimentos localizados em São José dos Campos.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aplicação de um filtro pelo código de município do IBGE (354990, referente a São José dos Campos), resultando em 100% dos registros do recorte correspondendo corretamente ao município desejado.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a base nacional da RAIS contém milhões de registros de todo o Brasil; o filtro municipal é o que torna o volume de dados gerenciável e relevante para o escopo do projeto (o ecossistema de SJC).</w:t>
      </w:r>
    </w:p>
    <w:p>
      <w:pPr>
        <w:pStyle w:val="Heading2"/>
        <w:spacing w:after="120" w:before="280"/>
      </w:pPr>
      <w:r>
        <w:t xml:space="preserve">3.4 Identificar problemas nos dados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análise exploratória da base filtrada para identificar inconsistências e limitações antes de seguir para a modelagem no Power BI.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inspeção dos campos disponíveis e contagem de ocorrências por categoria, o que revelou quatro problemas distintos, propositalmente inseridos pelo cliente/professores como parte da avaliação do projeto.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identificar problemas antes de construir o dashboard evita que o Observatório final apresente números incorretos ou enganosos ao usuário.</w:t>
      </w:r>
    </w:p>
    <w:tbl>
      <w:tblPr>
        <w:tblW w:type="dxa" w:w="935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E1E0D9" w:sz="2"/>
          <w:insideV w:val="single" w:color="E1E0D9" w:sz="2"/>
        </w:tblBorders>
      </w:tblPr>
      <w:tblGrid>
        <w:gridCol w:w="500"/>
        <w:gridCol w:w="1900"/>
        <w:gridCol w:w="3550"/>
        <w:gridCol w:w="3400"/>
      </w:tblGrid>
      <w:tr>
        <w:trPr>
          <w:tblHeader/>
        </w:trPr>
        <w:tc>
          <w:tcPr>
            <w:tcW w:type="dxa" w:w="5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55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Vínculos inativos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68% dos estabelecimentos estão em situação de RAIS negativa (sem vínculo ativo)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ranking de contratações que não distinguisse isso superestimaria a atividade econômica real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Mistura de tipos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base combina Cnpj, Caepf e Cno sem distinção clara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Tipos diferentes de estabelecimento têm naturezas jurídicas distintas e não deveriam ser somados sem critério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do ano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arquivo não indica o ano de referência dos dados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saber o ano, é impossível comparar a evolução ao longo do tempo ou informar corretamente o usuário do dashboard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de nomes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Nomes de empresas e CNPJs não constam nos dados públicos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Impede um ranking nominal de empresas, exigindo uma solução alternativa de agregação</w:t>
            </w:r>
          </w:p>
        </w:tc>
      </w:tr>
    </w:tbl>
    <w:p>
      <w:pPr>
        <w:spacing w:after="40" w:before="2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2514E"/>
          <w:sz w:val="18"/>
          <w:szCs w:val="18"/>
        </w:rPr>
        <w:t xml:space="preserve">Gráfico 1 — Proporção de estabelecimentos com vínculos ativos vs. RAIS negativa.</w:t>
      </w:r>
    </w:p>
    <w:p>
      <w:pPr>
        <w:spacing w:after="40" w:before="220"/>
        <w:jc w:val="center"/>
      </w:pPr>
      <w:r>
        <w:drawing>
          <wp:inline distT="0" distB="0" distL="0" distR="0">
            <wp:extent cx="4762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2514E"/>
          <w:sz w:val="18"/>
          <w:szCs w:val="18"/>
        </w:rPr>
        <w:t xml:space="preserve">Gráfico 2 — Os 4 problemas de dados identificados na Sprint 1 e seus respectivos códigos de decisão.</w:t>
      </w:r>
    </w:p>
    <w:p>
      <w:pPr>
        <w:pStyle w:val="Heading2"/>
        <w:spacing w:after="120" w:before="280"/>
      </w:pPr>
      <w:r>
        <w:t xml:space="preserve">3.5 Registrar as decisões formais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documentação de como cada um dos quatro problemas identificados seria tratado dali em diante.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criação do Log de Decisões de Dados, um documento no qual cada decisão recebe um código sequencial (DEC-001, DEC-002, ...) acompanhado da decisão tomada e da justificativa.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registrar decisões formalmente evita que o mesmo problema seja discutido repetidamente e permite que qualquer pessoa entenda, meses depois, por que uma escolha técnica foi feita.</w:t>
      </w:r>
    </w:p>
    <w:tbl>
      <w:tblPr>
        <w:tblW w:type="dxa" w:w="935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E1E0D9" w:sz="2"/>
          <w:insideV w:val="single" w:color="E1E0D9" w:sz="2"/>
        </w:tblBorders>
      </w:tblPr>
      <w:tblGrid>
        <w:gridCol w:w="1400"/>
        <w:gridCol w:w="3350"/>
        <w:gridCol w:w="4600"/>
      </w:tblGrid>
      <w:tr>
        <w:trPr>
          <w:tblHeader/>
        </w:trPr>
        <w:tc>
          <w:tcPr>
            <w:tcW w:type="dxa" w:w="14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35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Problema tratado</w:t>
            </w:r>
          </w:p>
        </w:tc>
        <w:tc>
          <w:tcPr>
            <w:tcW w:type="dxa" w:w="46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Decisão / encaminhamento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DEC-001</w:t>
            </w:r>
          </w:p>
        </w:tc>
        <w:tc>
          <w:tcPr>
            <w:tcW w:type="dxa" w:w="3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Vínculos inativos (68% RAIS negativa)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Tratamento definido e documentado no log de decisões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DEC-002</w:t>
            </w:r>
          </w:p>
        </w:tc>
        <w:tc>
          <w:tcPr>
            <w:tcW w:type="dxa" w:w="3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Mistura de tipos de estabelecimento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Tratamento definido e documentado no log de decisões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DEC-003</w:t>
            </w:r>
          </w:p>
        </w:tc>
        <w:tc>
          <w:tcPr>
            <w:tcW w:type="dxa" w:w="3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do campo ano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Rótulo provisório "a confirmar" até resposta do cliente sobre o ano de referência dos dados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DEC-004</w:t>
            </w:r>
          </w:p>
        </w:tc>
        <w:tc>
          <w:tcPr>
            <w:tcW w:type="dxa" w:w="3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de dados nominais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contingência: construir o ranking de empresas agregado por setor/região em vez de por nome, caso o cliente não forneça dados identificados (impacta a US07)</w:t>
            </w:r>
          </w:p>
        </w:tc>
      </w:tr>
    </w:tbl>
    <w:p>
      <w:pPr>
        <w:pStyle w:val="Heading2"/>
        <w:spacing w:after="120" w:before="280"/>
      </w:pPr>
      <w:r>
        <w:t xml:space="preserve">3.6 Exportar os dados tratados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geração dos arquivos finais de dados já filtrados e documentados, prontos para serem usados na etapa de visualização.</w:t>
      </w:r>
    </w:p>
    <w:p>
      <w:pPr>
        <w:spacing w:after="160"/>
      </w:pPr>
      <w:r>
        <w:rPr>
          <w:b/>
          <w:bCs/>
        </w:rPr>
        <w:t xml:space="preserve">Como foi feito: </w:t>
      </w:r>
      <w:r>
        <w:t xml:space="preserve">exportação de três arquivos .csv a partir do notebook, incluindo o arquivo principal RAIS_SJC_in_.csv.</w:t>
      </w:r>
    </w:p>
    <w:p>
      <w:pPr>
        <w:spacing w:after="160"/>
      </w:pPr>
      <w:r>
        <w:rPr>
          <w:b/>
          <w:bCs/>
        </w:rPr>
        <w:t xml:space="preserve">Para que serve: </w:t>
      </w:r>
      <w:r>
        <w:t xml:space="preserve">o formato .csv é amplamente compatível com o Power BI e outras ferramentas de análise, servindo como a "ponte" entre o tratamento em Python e a construção do dashboard.</w:t>
      </w:r>
    </w:p>
    <w:p>
      <w:pPr>
        <w:pStyle w:val="Heading2"/>
        <w:spacing w:after="120" w:before="280"/>
      </w:pPr>
      <w:r>
        <w:t xml:space="preserve">3.7 Elaborar a documentação Scrum e preparar o GitHub</w:t>
      </w:r>
    </w:p>
    <w:p>
      <w:pPr>
        <w:spacing w:after="160"/>
      </w:pPr>
      <w:r>
        <w:rPr>
          <w:b/>
          <w:bCs/>
        </w:rPr>
        <w:t xml:space="preserve">O que foi feito: </w:t>
      </w:r>
      <w:r>
        <w:t xml:space="preserve">produção de toda a suíte de documentos que formaliza o planejamento e o encerramento da Sprint 1, além da organização do repositório de código do projeto.</w:t>
      </w:r>
    </w:p>
    <w:tbl>
      <w:tblPr>
        <w:tblW w:type="dxa" w:w="935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E1E0D9" w:sz="2"/>
          <w:insideV w:val="single" w:color="E1E0D9" w:sz="2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Documento / Item</w:t>
            </w:r>
          </w:p>
        </w:tc>
        <w:tc>
          <w:tcPr>
            <w:tcW w:type="dxa" w:w="575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Visão e Escopo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o objetivo geral do projeto e os limites do que será (e não será) entregue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do Produto (11 User Stories)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priorizada de todas as funcionalidades previstas para o Observatório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da Sprint 1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Recorte das User Stories escolhidas especificamente para esta sprint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Checklist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Garante que uma User Story só comece a ser desenvolvida quando estiver de fato pronta para isso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DoD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os critérios que uma User Story precisa cumprir para ser considerada concluída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de Decisões de Dados (DEC-001 a DEC-004)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formalmente o tratamento dado a cada problema de dados encontrado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de Relatório Técnico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Padroniza a estrutura dos relatórios técnicos futuros do projeto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Repositório GitHub (observatorio-sjc)</w:t>
            </w:r>
          </w:p>
        </w:tc>
        <w:tc>
          <w:tcPr>
            <w:tcW w:type="dxa" w:w="5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 e versiona notebooks, documentos e arquivos do Power BI, com pastas docs/, notebooks/ e powerbi/</w:t>
            </w:r>
          </w:p>
        </w:tc>
      </w:tr>
    </w:tbl>
    <w:p>
      <w:pPr>
        <w:pStyle w:val="Heading1"/>
        <w:spacing w:after="160" w:before="380"/>
      </w:pPr>
      <w:r>
        <w:t xml:space="preserve">4. Verificação com a Definition of Done (DoD)</w:t>
      </w:r>
    </w:p>
    <w:p>
      <w:pPr>
        <w:spacing w:after="160"/>
      </w:pPr>
      <w:r>
        <w:t xml:space="preserve">Antes de encerrar a sprint, cada User Story foi confrontada com os critérios do DoD — os requisitos mínimos definidos para considerar uma entrega realmente concluída. As cinco User Stories da Sprint 1 (US01 a US05) foram verificadas e marcadas como Concluído no Backlog, incluindo a US03, cujo critério de conclusão exigia especificamente que os quatro problemas de dados estivessem identificados e com decisão formal registrada — condição atendida pelo Log de Decisões de Dados (DEC-001 a DEC-004).</w:t>
      </w:r>
    </w:p>
    <w:p>
      <w:pPr>
        <w:pStyle w:val="Heading1"/>
        <w:spacing w:after="160" w:before="380"/>
      </w:pPr>
      <w:r>
        <w:t xml:space="preserve">5. Resultados e Entregáveis da Sprint 1</w:t>
      </w:r>
    </w:p>
    <w:tbl>
      <w:tblPr>
        <w:tblW w:type="dxa" w:w="935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E1E0D9" w:sz="2"/>
          <w:insideV w:val="single" w:color="E1E0D9" w:sz="2"/>
        </w:tblBorders>
      </w:tblPr>
      <w:tblGrid>
        <w:gridCol w:w="6300"/>
        <w:gridCol w:w="3050"/>
      </w:tblGrid>
      <w:tr>
        <w:trPr>
          <w:tblHeader/>
        </w:trPr>
        <w:tc>
          <w:tcPr>
            <w:tcW w:type="dxa" w:w="630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050"/>
            <w:tcBorders>
              <w:bottom w:val="single" w:color="0B0B0B" w:sz="1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 de ETL executado com sucesso (Google Colab)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arquivos .csv com dados tratados e filtrados para SJC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problemas de dados identificados e documentados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de Decisões de Dados (DEC-001 a DEC-004)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de Visão e Escopo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do Produto e Backlog da Sprint 1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Checklist e DoD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 do repositório GitHub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Concluído (push local pendente de confirmação)</w:t>
            </w:r>
          </w:p>
        </w:tc>
      </w:tr>
    </w:tbl>
    <w:p>
      <w:pPr>
        <w:spacing w:after="40" w:before="220"/>
        <w:jc w:val="center"/>
      </w:pPr>
      <w:r>
        <w:drawing>
          <wp:inline distT="0" distB="0" distL="0" distR="0">
            <wp:extent cx="4762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2514E"/>
          <w:sz w:val="18"/>
          <w:szCs w:val="18"/>
        </w:rPr>
        <w:t xml:space="preserve">Gráfico 3 — A Sprint 1 entregou 100% das User Stories planejadas (5 de 5).</w:t>
      </w:r>
    </w:p>
    <w:p>
      <w:pPr>
        <w:pStyle w:val="Heading1"/>
        <w:spacing w:after="160" w:before="380"/>
      </w:pPr>
      <w:r>
        <w:t xml:space="preserve">6. Retrospectiva da Sprint</w:t>
      </w:r>
    </w:p>
    <w:p>
      <w:pPr>
        <w:pStyle w:val="Heading2"/>
        <w:spacing w:after="120" w:before="280"/>
      </w:pPr>
      <w:r>
        <w:t xml:space="preserve">6.1 O que funcionou bem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pipeline de ETL rodou sem erros já na primeira execução completa, filtrando corretamente 100% dos registros para o município.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registro formal das decisões (Log DEC-XXX) deixou claro, para qualquer leitor, o raciocínio por trás de cada escolha técnica.</w:t>
      </w:r>
    </w:p>
    <w:p>
      <w:pPr>
        <w:pStyle w:val="Heading2"/>
        <w:spacing w:after="120" w:before="280"/>
      </w:pPr>
      <w:r>
        <w:t xml:space="preserve">6.2 Dificuldades encontradas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base de dados apresentou qualidade abaixo do esperado (RAIS negativa, mistura de tipos, ausência de ano e de identificação nominal), exigindo tempo adicional de análise antes de seguir para a modelagem.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Duas das quatro decisões de dados (DEC-003 e DEC-004) dependem de respostas do cliente ainda não recebidas, o que mantém parte do escopo em aberto.</w:t>
      </w:r>
    </w:p>
    <w:p>
      <w:pPr>
        <w:pStyle w:val="Heading2"/>
        <w:spacing w:after="120" w:before="280"/>
      </w:pPr>
      <w:r>
        <w:t xml:space="preserve">6.3 Aprendizados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Vale sempre explorar a qualidade dos dados antes de avançar para a visualização — problemas encontrados cedo custam muito menos para corrigir.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 um formato padrão de registro de decisões (DEC-XXX) economiza tempo de comunicação com orientadores e cliente.</w:t>
      </w:r>
    </w:p>
    <w:p>
      <w:pPr>
        <w:pStyle w:val="Heading1"/>
        <w:spacing w:after="160" w:before="380"/>
      </w:pPr>
      <w:r>
        <w:t xml:space="preserve">7. Transição para a Sprint 2</w:t>
      </w:r>
    </w:p>
    <w:p>
      <w:pPr>
        <w:spacing w:after="160"/>
      </w:pPr>
      <w:r>
        <w:t xml:space="preserve">Ao final da Sprint 1, ficam como pendências herdadas para os próximos ciclos: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Resposta do cliente sobre o ano de referência dos dados da RAIS (DEC-003).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Resposta do cliente sobre a possibilidade de fornecer dados identificados de empresas (DEC-004), o que definirá a abordagem final da US07.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Confirmação, pelos professores, das datas oficiais de Sprint 2 e Sprint 3 (atualmente propostas, não confirmadas).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Confirmação da execução do push do repositório observatorio-sjc para o GitHub.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Início do desenvolvimento das User Stories US06 a US11 e da geocodificação por CEP para o mapeamento geográfico.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Página </w:t>
    </w:r>
    <w:r>
      <w:rPr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98781"/>
        <w:sz w:val="16"/>
        <w:szCs w:val="16"/>
      </w:rPr>
      <w:t xml:space="preserve"> de </w:t>
    </w:r>
    <w:r>
      <w:rPr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Observatório SJC — Relatório Detalhado da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8fbd85f2d631c500e604d4c299b506bab5f779.png"/><Relationship Id="rId10" Type="http://schemas.openxmlformats.org/officeDocument/2006/relationships/image" Target="media/9093e20d9064f9a936cadc90b719232f0734b01f.png"/><Relationship Id="rId11" Type="http://schemas.openxmlformats.org/officeDocument/2006/relationships/image" Target="media/7b5fa061a4ac56605f369999fb17796adb23d069.png"/><Relationship Id="rId12" Type="http://schemas.openxmlformats.org/officeDocument/2006/relationships/image" Target="media/14044e5e57d1957b15638819fa793e4bdea8787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2026-09-22T10:47:21.667Z</dcterms:created>
  <dcterms:modified xsi:type="dcterms:W3CDTF">2026-09-22T10:47:21.667Z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