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i w:val="0"/>
          <w:color w:val="000000"/>
          <w:sz w:val="50"/>
        </w:rPr>
        <w:t>Guia de UX UI e Componentes do Nexos</w:t>
      </w:r>
    </w:p>
    <w:p>
      <w:r>
        <w:rPr>
          <w:rFonts w:ascii="Aptos" w:hAnsi="Aptos"/>
          <w:b w:val="0"/>
          <w:i w:val="0"/>
          <w:color w:val="5E6B7A"/>
          <w:sz w:val="24"/>
        </w:rPr>
        <w:t>Inventário de telas, padrões de interface e arquitetura visual</w:t>
      </w:r>
    </w:p>
    <w:p>
      <w:pPr>
        <w:spacing w:before="0" w:after="200"/>
      </w:pPr>
      <w:r>
        <w:rPr>
          <w:rFonts w:ascii="Aptos" w:hAnsi="Aptos"/>
          <w:b w:val="0"/>
          <w:i w:val="0"/>
          <w:color w:val="111827"/>
          <w:sz w:val="20"/>
        </w:rPr>
        <w:t>Este guia consolida a revisão do frontend atual do Nexos. Ele serve como referência para produto, design e desenvolvimento: mostra o que já existe, como as telas se agrupam, quais componentes devem ser reutilizados e onde há oportunidades de evolução.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Escopo</w:t>
            </w:r>
          </w:p>
        </w:tc>
        <w:tc>
          <w:tcPr>
            <w:tcW w:type="dxa" w:w="80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Frontend revisado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60 arquivos de rota, 46 primitivas de UI e os shells compartilhados.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Base visual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Tailwind CSS v4, tokens CSS, Radix/shadcn, Lucide e componentes próprios.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Evidência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Código em src, documentação interna e observação do dashboard em execução.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Limite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 revisão é de interface e estrutura. Fluxos que dependem de sessão/dados reais foram catalogados pelo código, não homologados ponta a ponta.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Resumo executivo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Nexos tem uma linguagem visual consistente: superfícies sóbrias, azul índigo como ação principal, ciano como acento, tipografia Inter no produto e uma hierarquia baseada em sidebar, topbar e áreas de conteúdo. A base de componentes é robusta, mas coexistem três camadas de UI: o kit próprio, as primitivas shadcn/Radix e alguns padrões locais nas rotas. O próximo ganho é reduzir essa duplicidade e formalizar padrões de tela para listas, formulários, detalhes e estados vazios.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Como ler este documento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Telas: inventário completo por área, incluindo rotas de redirecionamento e legadas.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Componentes: o que reutilizar antes de criar uma variação nova.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Padrões: regras visuais e de comportamento que já aparecem de forma recorrente.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Recomendações: prioridades de UX/UI; não são mudanças aplicadas nesta revisão.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Modelo de interface e arquitetura visual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aplicação usa TanStack Router com rotas por arquivo. O layout é montado a partir de shells, que cuidam de navegação, controle de acesso, tema, breadcrumbs e feedback de conectividade. As páginas compõem esses blocos com componentes compartilhados e primitivas de baixo nível.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Camada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Responsabilidade</w:t>
            </w:r>
          </w:p>
        </w:tc>
        <w:tc>
          <w:tcPr>
            <w:tcW w:type="dxa" w:w="475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Principais elementos</w:t>
            </w:r>
          </w:p>
        </w:tc>
        <w:trPr>
          <w:tblHeader/>
        </w:trPr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Navegação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Organiza URL, redirecionamentos e composição de página.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src/routes; TanStack Router; routeTree gerada.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Shell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Oferece estrutura persistente e contexto da área.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AppShell, AppShellFull, AdminShell e OperatorShell.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Padrões próprios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Padroniza aparência e comportamento frequentes.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ui-kit, modal, feedback, filtros e catálogos.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Primitivas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Resolve acessibilidade e interações específicas.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Radix/shadcn em components/ui.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Dados e estado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Alimenta a tela e atualiza eventos em tempo real.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React Query, Zustand, nexos-api e realtime.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Fluxo estrutural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Usuário -&gt; rota -&gt; shell adequado -&gt; página -&gt; componentes compartilhados/primitivas -&gt; APIs e estado. Em áreas operacionais, o tempo real complementa dados obtidos por REST; a interface preserva fallback quando a conexão está indisponível.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Shells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Shell</w:t>
            </w:r>
          </w:p>
        </w:tc>
        <w:tc>
          <w:tcPr>
            <w:tcW w:type="dxa" w:w="324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Onde aparece</w:t>
            </w:r>
          </w:p>
        </w:tc>
        <w:tc>
          <w:tcPr>
            <w:tcW w:type="dxa" w:w="496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de navegação</w:t>
            </w:r>
          </w:p>
        </w:tc>
        <w:trPr>
          <w:tblHeader/>
        </w:trPr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AppShell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Painel da empresa e operação.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Sidebar agrupada, topbar, busca, status em tempo real, alternância de tema e menu do usuário.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AppShellFull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Inbox e telas com uso intenso de espaço.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Mesmo contexto do AppShell, com área principal adaptada para conversa, listas e histórico.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AdminShell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Super Admin.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Sidebar específica de plataforma, breadcrumbs e contexto de administração global.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OperatorShell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Rotas legadas de atendimento.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Área simplificada para operador; parte das rotas redireciona para a experiência atual.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Sistema visual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Os tokens ficam em src/styles.css e são a fonte de verdade para cores, superfícies, raios, sombras, tipografia, foco e movimento. O sistema é dark-first, com tema claro equivalente.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Paleta e semântica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Token</w:t>
            </w:r>
          </w:p>
        </w:tc>
        <w:tc>
          <w:tcPr>
            <w:tcW w:type="dxa" w:w="367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 previsto</w:t>
            </w:r>
          </w:p>
        </w:tc>
        <w:tc>
          <w:tcPr>
            <w:tcW w:type="dxa" w:w="439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Leitura visual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background e surface 1 a 3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Canvas, agrupamentos e elevação.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Azul quase preto no tema escuro; cinzas azulados no claro.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primary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Ação principal e foco.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Índigo elétrico; usado em botões principais, anéis de foco e destaques.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accent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Sinalização de marca e detalhes.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Ciano; bom para estado ativo secundário e indicadores.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success warning info destructive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 e risco.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Teal, âmbar, azul e rosa/vermelho. Sempre devem carregar texto ou ícone além da cor.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border input ring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Separação e interação.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Baixo contraste para bordas; foco com anel visível e preservação de contraste.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Tipografia e espaçamento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Aspecto</w:t>
            </w:r>
          </w:p>
        </w:tc>
        <w:tc>
          <w:tcPr>
            <w:tcW w:type="dxa" w:w="396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atual</w:t>
            </w:r>
          </w:p>
        </w:tc>
        <w:tc>
          <w:tcPr>
            <w:tcW w:type="dxa" w:w="424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Diretriz de uso</w:t>
            </w:r>
          </w:p>
        </w:tc>
        <w:trPr>
          <w:tblHeader/>
        </w:trPr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Fonte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Inter para interface; Geist Mono para dados técnicos.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Use mono somente para IDs, horários e dados que ganham legibilidade tabular.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Hierarquia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H1 36 px, H2 28 px, H3 22 px, H4 18 px na base CSS.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Páginas usam títulos concisos, subtítulo informativo e seções menores.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Raio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Base de 12 px, com escala sm a 2xl.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Cartões e diálogos usam cantos suaves; botões e entradas seguem a mesma família.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Espaçamento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Classes Tailwind com blocos de 8 a 24 px recorrentes.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Separar ação, contexto e conteúdo; evitar concentrar filtros, CTA e tabela sem respiro.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Movimento e acessibilidade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Há fade, scale, slide, shimmer e pulse de baixa duração, com respeito a prefers-reduced-motion. O foco visível usa dois anéis, e elementos de estado crítico usam texto e ícone. O sistema já inclui roles em loaders e progressos; novos componentes devem manter labels, foco por teclado e fechamento por Escape quando forem modais.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Componentes próprios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Antes de criar algo novo, a convenção do projeto é consultar ui-kit.tsx, modal.tsx e feedback.tsx. Estes são os blocos que traduzem os tokens em padrões prontos para uso.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Grupo</w:t>
            </w:r>
          </w:p>
        </w:tc>
        <w:tc>
          <w:tcPr>
            <w:tcW w:type="dxa" w:w="381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Componentes</w:t>
            </w:r>
          </w:p>
        </w:tc>
        <w:tc>
          <w:tcPr>
            <w:tcW w:type="dxa" w:w="453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Quando usar</w:t>
            </w:r>
          </w:p>
        </w:tc>
        <w:trPr>
          <w:tblHeader/>
        </w:trPr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Estrutura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Card, PageHeader, SectionTitle, EmptyState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Conteúdo agrupado, título de página, divisões de contexto e ausência de dados.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Ações e entrada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Button, Input, SearchInput, Textarea, Select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Formulários, filtros, busca e ações com variante visual clara.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Informação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Badge, Avatar, LogoMark, StatCard, KpiCard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Status, identidade, indicadores e dados resumidos.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Sobreposições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Modal, ConfirmDialog, useDisclosure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Criação, edição, confirmação de ação e detalhes que não exigem trocar de tela.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Feedback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Spinner, Skeleton, BlockLoader, TopProgress, Progress, ErrorState, OfflineBanner, ConnectionPill, OnboardingCard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Carregamento, falha, conectividade, progresso e primeira utilização.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Especializados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ReportFiltersBar, DashboardFilters, InstanceTypeCard, filtros de listagem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operacionais e apresentações específicas de domínio.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Exemplo visual de composição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Cabeçalho da página</w:t>
            </w:r>
          </w:p>
        </w:tc>
        <w:tc>
          <w:tcPr>
            <w:tcW w:type="dxa" w:w="288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Ação primária</w:t>
            </w:r>
          </w:p>
        </w:tc>
        <w:tc>
          <w:tcPr>
            <w:tcW w:type="dxa" w:w="417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Conteúdo</w:t>
            </w:r>
          </w:p>
        </w:tc>
        <w:trPr>
          <w:tblHeader/>
        </w:trPr>
      </w:tr>
      <w:tr>
        <w:tc>
          <w:tcPr>
            <w:tcW w:type="dxa" w:w="309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Título + explicação curta + breadcrumb quando necessário.</w:t>
            </w:r>
          </w:p>
        </w:tc>
        <w:tc>
          <w:tcPr>
            <w:tcW w:type="dxa" w:w="28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Um CTA principal; ações secundárias em botão neutro ou menu.</w:t>
            </w:r>
          </w:p>
        </w:tc>
        <w:tc>
          <w:tcPr>
            <w:tcW w:type="dxa" w:w="417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acima da lista; cartões para resumo; tabela ou lista para registros.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Aptos" w:hAnsi="Aptos"/>
          <w:b w:val="0"/>
          <w:i w:val="0"/>
          <w:color w:val="111827"/>
          <w:sz w:val="20"/>
        </w:rPr>
        <w:t>Leitura desejada: primeiro entender onde está e o que pode fazer; depois agir; por último explorar dados. Esse arranjo já aparece em Dashboard, CRUDs administrativos, Chamados e Configurações.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Primitivas disponíveis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catálogo components/ui possui 46 primitivas: accordion, alert, alert-dialog, aspect-ratio, avatar, badge, breadcrumb, button, calendar, card, carousel, chart, checkbox, collapsible, command, context-menu, dialog, drawer, dropdown-menu, form, hover-card, input, input-otp, label, menubar, navigation-menu, pagination, popover, progress, radio-group, resizable, scroll-area, select, separator, sheet, sidebar, skeleton, slider, sonner, switch, table, tabs, textarea, toggle, toggle-group e tooltip.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Elas são a melhor escolha quando a necessidade for interação acessível já resolvida, como diálogo, dropdown, select, tooltip, tabs ou drawer. Para aparência de produto, devem receber tokens atuais e, quando o padrão se repetir, ser encapsuladas no kit próprio.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Padrões de interface observados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</w:t>
            </w:r>
          </w:p>
        </w:tc>
        <w:tc>
          <w:tcPr>
            <w:tcW w:type="dxa" w:w="345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Aplicação</w:t>
            </w:r>
          </w:p>
        </w:tc>
        <w:tc>
          <w:tcPr>
            <w:tcW w:type="dxa" w:w="460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Regra prática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Sidebar agrupada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Operação, Administração, Canais e Chamados.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Agrupar por tarefa do usuário; não criar nova seção para uma única tela sem necessidade.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Topbar contextual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Breadcrumb, conexão, busca, tema e usuário.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Manter ações globais aqui; ações da tela ficam no cabeçalho do conteúdo.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Cartão de superfície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KPIs, formulários, estados vazios e blocos de configuração.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Usar bg-card, borda e sombra discreta. Não empilhar cartões sem uma razão de agrupamento.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 responsiva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Listas administrativas e financeiras.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No desktop: cabeçalho curto e ações ao fim. No mobile: rolagem horizontal ou versão em cartões quando a leitura for inviável.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operacionais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Dashboard, histórico, relatórios e filas.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Mostrar filtros mais frequentes; filtros avançados em agrupamento expansível quando a tela ficar densa.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Modal com rodapé fixo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CRUDs e confirmações.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Título, contexto, conteúdo rolável e ações no rodapé. Destrutivo deve exigir confirmação explícita.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 semântico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Conexão, fila e mensagens.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Nunca depender apenas de cor. Exibir rótulo, ícone ou ponto acompanhado de texto.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Feedback de rede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OfflineBanner e ConnectionPill.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Separar indisponibilidade do navegador de reconexão do tempo real.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Estados que toda tela de dados deve cobrir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7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Componente recomendado</w:t>
            </w:r>
          </w:p>
        </w:tc>
        <w:tc>
          <w:tcPr>
            <w:tcW w:type="dxa" w:w="468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Mensagem esperada</w:t>
            </w:r>
          </w:p>
        </w:tc>
        <w:trPr>
          <w:tblHeader/>
        </w:trPr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Carregando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Skeleton, BlockLoader ou TableRowsSkeleton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 que está sendo carregado, sem travar o layout.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Vazio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EmptyState ou Card contextual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 que ainda não existe e qual ação cria o primeiro item.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Erro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ErrorState + toast quando aplicável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 que falhou, impacto e ação de tentar novamente.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Sem conexão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OfflineBanner e ConnectionPill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 a mudança foi adiada, se há fallback e o que o usuário pode fazer.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Permissão insuficiente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Gate de rota e mensagem contextual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Evitar renderizar controles que a pessoa não pode concluir.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Inventário completo de telas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lista abaixo cobre as 60 rotas declaradas. Rotas de layout, índice e redirecionamento entram para deixar claro o desenho de navegação e evitar telas órfãs.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Acesso e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/login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Autenticação e saúde pré-login.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Tela sem shell; formulário, feedback inline e toast.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 operacional.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Filtros, KPIs, gráficos e atividade recente.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/inbox e /inbox/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de conversas.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Shell full-height; filtros, lista e estados operacionais.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/inbox/$conversationId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Conversa individual.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Painel de mensagens, composer, status e contexto do contato.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/historico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Histórico de conversas.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Busca, filtros e leitura de registros.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/relatorios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Relatórios.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de período e visualização analítica.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/filas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Filas administrativas.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Visão operacional de distribuição e prioridades.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/mensagens-rapidas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Quick replies.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CRUD de conteúdo curto e uso no composer.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/agendamentos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Agendamentos.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Calendário/lista e formulário de programação.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/chamados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Chamados.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paginada, filtros, detalhe, comentários e anexos.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CRM, cadastros e administração da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/contatos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Contatos.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Busca, tabela/lista e CRUD com dados de canal.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/clientes, /empresas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Rotas legadas/redirecionadas.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Preservam compatibilidade de navegação.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/grupos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Gerenciar grupos.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e ações de grupo vinculadas a conversas.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/atendentes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Gestão de atendentes.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Tabela, formulário e associação a perfil/departamento.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/perfis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Perfis de acesso.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CRUD de papéis e matriz de permissões.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/departamentos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Departamentos.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Lista, criação, edição e ativação.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/etiquetas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Etiquetas.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Catálogo de tags para uso no atendimento.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/perfil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Perfil pessoal.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Dados da sessão e preferências do usuário.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Canais, automação 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/instancias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Instâncias de mensageria.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Cartões/listas de conexão, QR, status e ações de ciclo de vida.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/chatbot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Fluxo de Bot.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Configuração de automação e navegação para o fluxo.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/automacoes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Automações.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Catálogo e gestão de regras automatizadas.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/agente-ia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Agente de IA.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Configuração guiada de capacidade em consolidação.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/campanhas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Campanhas.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Planejamento, lista e acompanhamento de disparos.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/bi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Business intelligence.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Visão analítica complementar.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/ajuda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Ajuda.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Conteúdo guiado e resolução de dúvidas.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Inventário completo de telas continuação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Configurações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Layout de configurações.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Navegação lateral interna com Outlet.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Entrada que redireciona para Empresa.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Redirecionamento de conveniência.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/configuracoes/empresa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Perfil da empresa.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Formulário de dados institucionais.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/configuracoes/geral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Filas e preferências gerais.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configurável, toggles e salvamento.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/configuracoes/horarios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Horários de atendimento.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Grade de dias, intervalos e toggles.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/configuracoes/usuarios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Usuários.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de membros e vínculos.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/configuracoes/permissoes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Permissões.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Leitura e gestão de papéis.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/configuracoes/campos-contato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Campos personalizados.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 desktop, cartões mobile e ordenação por arrastar.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/configuracoes/integracoes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Integrações.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Configuração de conexões externas.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/configuracoes/financeiro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Financeiro.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e tabela de pagamentos.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/configuracoes/mensagens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Automações.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Compatibilidade de navegação.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/configuracoes/seguranca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Geral.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Compatibilidade de navegação.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Atendimento legado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Comportamento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Layout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Outlet de compatibilidade.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Entrada legada.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/atendimento/inbox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Inbox legada.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experiência principal.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/atendimento/historico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Histórico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experiência principal.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/atendimento/clientes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Clientes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rota atual.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/atendimento/favoritos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Favoritos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/atendimento/perfil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Perfil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Perfil.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Super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Shell de plataforma.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Gate de super admin e Outlet.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 de plataforma.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KPIs e acompanhamento global.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/admin/empresas, /admin/empresas/$tenantId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Empresas e detalhe do tenant.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Tabela, detalhe e navegação hierárquica.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/admin/planos, /admin/assinaturas, /admin/financeiro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Oferta e receita.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Catálogos, status e registros financeiros.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/admin/monitoramento, /admin/logs, /admin/auditoria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Operação e auditoria.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Leitura de eventos, saúde e rastreabilidade.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/admin/licencas, /admin/suporte, /admin/configuracoes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Gestão de plataforma.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Configurações e suporte global.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Referência visual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imagem abaixo é o ativo de fundo usado no login desktop. Ela ilustra o papel dos elementos gráficos na interface: reforçar a marca sem competir com o formulário. Nas telas internas, a identidade vem prioritariamente dos tokens, superfícies e ícones, e não de imagens decorativas.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14458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desktop-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E6B7A"/>
          <w:sz w:val="16"/>
        </w:rPr>
        <w:t>Ativo existente: fundo de login para desktop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Exemplos de componentes na prática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367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Representação</w:t>
            </w:r>
          </w:p>
        </w:tc>
        <w:tc>
          <w:tcPr>
            <w:tcW w:type="dxa" w:w="453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</w:t>
            </w:r>
          </w:p>
        </w:tc>
        <w:trPr>
          <w:tblHeader/>
        </w:trPr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Ação primária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Botão de destaque em índigo/gradiente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Salvar, criar, conectar, enviar ou confirmar.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Ação secundária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Botão de superfície ou contorno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Cancelar, voltar, filtrar, editar e ações reversíveis.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Pílula com ponto + texto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Conectado, fila, aviso, erro, entregue e lida.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Resumo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Cartão com rótulo, valor e tendência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 e painel administrativo.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Entrada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Campo com borda discreta e foco em índigo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Busca, formulário e seleção.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Responsividade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CSS prevê adaptação em telas estreitas: tabelas reduzem tipografia e mantêm rolagem horizontal; inputs usam 16 px no mobile para evitar zoom do navegador; a sidebar muda de comportamento; e alguns formulários transformam tabelas em cartões. A validação futura deve cobrir pelo menos desktop amplo, notebook e mobile real nos fluxos Inbox, Contatos, Chamados e Configurações de campos.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Revisão de UX UI e prioridades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seguir estão recomendações derivadas da estrutura e dos padrões encontrados. Elas foram classificadas pela relação entre impacto na experiência e esforço de consolidação.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37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Prioridade</w:t>
            </w:r>
          </w:p>
        </w:tc>
        <w:tc>
          <w:tcPr>
            <w:tcW w:type="dxa" w:w="338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Oportunidade</w:t>
            </w:r>
          </w:p>
        </w:tc>
        <w:tc>
          <w:tcPr>
            <w:tcW w:type="dxa" w:w="5731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Recomendação</w:t>
            </w:r>
          </w:p>
        </w:tc>
        <w:trPr>
          <w:tblHeader/>
        </w:trPr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Convergir a camada de componentes.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Definir o kit próprio como porta de entrada visual. Encapsular as primitivas shadcn/Radix usadas com frequência, evitando que Button, Card, Dialog, Badge e Input ganhem estilos concorrentes.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Padronizar telas de lista e CRUD.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Criar templates explícitos para ListPage, DetailPage e FormPage: cabeçalho, CTA, filtros, carregamento, vazio, erro e ações por linha.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Separar navegação atual de legado.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Manter redirecionamentos necessários, mas marcar rotas /atendimento e aliases de configuração como compatibilidade e definir data/plano de descontinuação.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Média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Reduzir densidade em áreas administrativas.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Agrupar filtros avançados, preservar uma ação principal por tela e converter tabelas extensas em cartões no mobile quando rolagem horizontal prejudicar a tomada de decisão.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Média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Formalizar conteúdo de estado vazio.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Cada domínio deve explicar por que está vazio e oferecer próximo passo: conectar instância, criar primeiro contato, abrir chamado ou ajustar filtros.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Média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Criar guia de uso de status.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Documentar mapeamento de cores, textos, ícones e regras de atualização para mensagens, conexões, campanhas e chamados.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Baixa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Inventariar componentes não utilizados.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As 46 primitivas disponíveis não precisam todas ser expostas ao produto; reduzir o catálogo mental acelera decisões e preserva consistência.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Checklist para nova tela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A rota está dentro do shell correto e aparece somente para quem tem permissão?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O cabeçalho explica a tarefa e há uma única ação primária clara?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A página reutiliza Card, Button, Input, Modal e Feedback antes de criar estilo local?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Há estados de carregamento, vazio, erro e offline? Eles preservam o layout?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A interface funciona por teclado, mostra foco e não comunica status somente por cor?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Tabelas e formulários continuam legíveis em mobile e notebook?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Conclusão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Nexos já possui um design system funcional e uma boa base de shells, tokens e feedback. A maturidade seguinte não depende de reinventar a estética: depende de tornar os padrões explícitos, reduzir variantes paralelas e usar os mesmos blocos nas áreas operacionais, administrativas e de plataforma.</w:t>
      </w:r>
    </w:p>
    <w:sectPr w:rsidR="00FC693F" w:rsidRPr="0006063C" w:rsidSect="00034616"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E6B7A"/>
        <w:sz w:val="16"/>
      </w:rPr>
      <w:t>Nexos  |  Guia de UX UI e Componentes  | 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