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/>
          <w:b/>
          <w:i w:val="0"/>
          <w:color w:val="000000"/>
          <w:sz w:val="50"/>
        </w:rPr>
        <w:t>Guia de UX UI e Componentes do Trixus</w:t>
      </w:r>
    </w:p>
    <w:p>
      <w:r>
        <w:rPr>
          <w:rFonts w:ascii="Aptos" w:hAnsi="Aptos"/>
          <w:b w:val="0"/>
          <w:i w:val="0"/>
          <w:color w:val="5E6B7A"/>
          <w:sz w:val="24"/>
        </w:rPr>
        <w:t>Inventário de telas, padrões de interface e arquitetura visual</w:t>
      </w:r>
    </w:p>
    <w:p>
      <w:pPr>
        <w:spacing w:before="0" w:after="200"/>
      </w:pPr>
      <w:r>
        <w:rPr>
          <w:rFonts w:ascii="Aptos" w:hAnsi="Aptos"/>
          <w:b w:val="0"/>
          <w:i w:val="0"/>
          <w:color w:val="111827"/>
          <w:sz w:val="20"/>
        </w:rPr>
        <w:t>Este guia consolida a revisão do frontend atual do Trixus. Ele serve como referência para produto, design e desenvolvimento: mostra o que já existe, como as telas se agrupam, quais componentes devem ser reutilizados e onde há oportunidades de evolução.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088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Escopo</w:t>
            </w:r>
          </w:p>
        </w:tc>
        <w:tc>
          <w:tcPr>
            <w:tcW w:type="dxa" w:w="8064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Resultado</w:t>
            </w:r>
          </w:p>
        </w:tc>
        <w:trPr>
          <w:tblHeader/>
        </w:trPr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Frontend revisado</w:t>
            </w:r>
          </w:p>
        </w:tc>
        <w:tc>
          <w:tcPr>
            <w:tcW w:type="dxa" w:w="80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60 arquivos de rota, 46 primitivas de UI e os shells compartilhados.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Base visual</w:t>
            </w:r>
          </w:p>
        </w:tc>
        <w:tc>
          <w:tcPr>
            <w:tcW w:type="dxa" w:w="80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Tailwind CSS v4, tokens CSS, Radix/shadcn, Lucide e componentes próprios.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Evidência</w:t>
            </w:r>
          </w:p>
        </w:tc>
        <w:tc>
          <w:tcPr>
            <w:tcW w:type="dxa" w:w="80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Código em src, documentação interna e observação do dashboard em execução.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Limite</w:t>
            </w:r>
          </w:p>
        </w:tc>
        <w:tc>
          <w:tcPr>
            <w:tcW w:type="dxa" w:w="80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A revisão é de interface e estrutura. Fluxos que dependem de sessão/dados reais foram catalogados pelo código, não homologados ponta a ponta.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</w:pPr>
      <w:r>
        <w:rPr>
          <w:rFonts w:ascii="Aptos" w:hAnsi="Aptos"/>
          <w:b/>
          <w:i w:val="0"/>
          <w:color w:val="111827"/>
          <w:sz w:val="32"/>
        </w:rPr>
        <w:t>Resumo executivo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11827"/>
          <w:sz w:val="20"/>
        </w:rPr>
        <w:t>O Trixus tem uma linguagem visual consistente: superfícies sóbrias, azul índigo como ação principal, ciano como acento, tipografia Inter no produto e uma hierarquia baseada em sidebar, topbar e áreas de conteúdo. A base de componentes é robusta, mas coexistem três camadas de UI: o kit próprio, as primitivas shadcn/Radix e alguns padrões locais nas rotas. O próximo ganho é reduzir essa duplicidade e formalizar padrões de tela para listas, formulários, detalhes e estados vazios.</w:t>
      </w:r>
    </w:p>
    <w:p>
      <w:pPr>
        <w:pStyle w:val="Heading2"/>
        <w:spacing w:before="200" w:after="120"/>
      </w:pPr>
      <w:r>
        <w:rPr>
          <w:rFonts w:ascii="Aptos" w:hAnsi="Aptos"/>
          <w:b/>
          <w:i w:val="0"/>
          <w:color w:val="111827"/>
          <w:sz w:val="24"/>
        </w:rPr>
        <w:t>Como ler este documento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11827"/>
          <w:sz w:val="19"/>
        </w:rPr>
        <w:t>Telas: inventário completo por área, incluindo rotas de redirecionamento e legadas.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11827"/>
          <w:sz w:val="19"/>
        </w:rPr>
        <w:t>Componentes: o que reutilizar antes de criar uma variação nova.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11827"/>
          <w:sz w:val="19"/>
        </w:rPr>
        <w:t>Padrões: regras visuais e de comportamento que já aparecem de forma recorrente.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11827"/>
          <w:sz w:val="19"/>
        </w:rPr>
        <w:t>Recomendações: prioridades de UX/UI; não são mudanças aplicadas nesta revisão.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ptos" w:hAnsi="Aptos"/>
          <w:b/>
          <w:i w:val="0"/>
          <w:color w:val="111827"/>
          <w:sz w:val="32"/>
        </w:rPr>
        <w:t>Modelo de interface e arquitetura visual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11827"/>
          <w:sz w:val="20"/>
        </w:rPr>
        <w:t>A aplicação usa TanStack Router com rotas por arquivo. O layout é montado a partir de shells, que cuidam de navegação, controle de acesso, tema, breadcrumbs e feedback de conectividade. As páginas compõem esses blocos com componentes compartilhados e primitivas de baixo nível.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800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Camada</w:t>
            </w:r>
          </w:p>
        </w:tc>
        <w:tc>
          <w:tcPr>
            <w:tcW w:type="dxa" w:w="3600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Responsabilidade</w:t>
            </w:r>
          </w:p>
        </w:tc>
        <w:tc>
          <w:tcPr>
            <w:tcW w:type="dxa" w:w="4752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Principais elementos</w:t>
            </w:r>
          </w:p>
        </w:tc>
        <w:trPr>
          <w:tblHeader/>
        </w:trPr>
      </w:tr>
      <w:tr>
        <w:tc>
          <w:tcPr>
            <w:tcW w:type="dxa" w:w="18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Navegação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Organiza URL, redirecionamentos e composição de página.</w:t>
            </w:r>
          </w:p>
        </w:tc>
        <w:tc>
          <w:tcPr>
            <w:tcW w:type="dxa" w:w="475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src/routes; TanStack Router; routeTree gerada.</w:t>
            </w:r>
          </w:p>
        </w:tc>
      </w:tr>
      <w:tr>
        <w:tc>
          <w:tcPr>
            <w:tcW w:type="dxa" w:w="18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Shell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Oferece estrutura persistente e contexto da área.</w:t>
            </w:r>
          </w:p>
        </w:tc>
        <w:tc>
          <w:tcPr>
            <w:tcW w:type="dxa" w:w="475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AppShell, AppShellFull, AdminShell e OperatorShell.</w:t>
            </w:r>
          </w:p>
        </w:tc>
      </w:tr>
      <w:tr>
        <w:tc>
          <w:tcPr>
            <w:tcW w:type="dxa" w:w="18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Padrões próprios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Padroniza aparência e comportamento frequentes.</w:t>
            </w:r>
          </w:p>
        </w:tc>
        <w:tc>
          <w:tcPr>
            <w:tcW w:type="dxa" w:w="475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ui-kit, modal, feedback, filtros e catálogos.</w:t>
            </w:r>
          </w:p>
        </w:tc>
      </w:tr>
      <w:tr>
        <w:tc>
          <w:tcPr>
            <w:tcW w:type="dxa" w:w="18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Primitivas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Resolve acessibilidade e interações específicas.</w:t>
            </w:r>
          </w:p>
        </w:tc>
        <w:tc>
          <w:tcPr>
            <w:tcW w:type="dxa" w:w="475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Radix/shadcn em components/ui.</w:t>
            </w:r>
          </w:p>
        </w:tc>
      </w:tr>
      <w:tr>
        <w:tc>
          <w:tcPr>
            <w:tcW w:type="dxa" w:w="18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Dados e estado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Alimenta a tela e atualiza eventos em tempo real.</w:t>
            </w:r>
          </w:p>
        </w:tc>
        <w:tc>
          <w:tcPr>
            <w:tcW w:type="dxa" w:w="475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React Query, Zustand, trixus-api e realtime.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Aptos" w:hAnsi="Aptos"/>
          <w:b/>
          <w:i w:val="0"/>
          <w:color w:val="111827"/>
          <w:sz w:val="24"/>
        </w:rPr>
        <w:t>Fluxo estrutural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11827"/>
          <w:sz w:val="20"/>
        </w:rPr>
        <w:t>Usuário -&gt; rota -&gt; shell adequado -&gt; página -&gt; componentes compartilhados/primitivas -&gt; APIs e estado. Em áreas operacionais, o tempo real complementa dados obtidos por REST; a interface preserva fallback quando a conexão está indisponível.</w:t>
      </w:r>
    </w:p>
    <w:p>
      <w:pPr>
        <w:pStyle w:val="Heading2"/>
        <w:spacing w:before="200" w:after="120"/>
      </w:pPr>
      <w:r>
        <w:rPr>
          <w:rFonts w:ascii="Aptos" w:hAnsi="Aptos"/>
          <w:b/>
          <w:i w:val="0"/>
          <w:color w:val="111827"/>
          <w:sz w:val="24"/>
        </w:rPr>
        <w:t>Shells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944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Shell</w:t>
            </w:r>
          </w:p>
        </w:tc>
        <w:tc>
          <w:tcPr>
            <w:tcW w:type="dxa" w:w="3240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Onde aparece</w:t>
            </w:r>
          </w:p>
        </w:tc>
        <w:tc>
          <w:tcPr>
            <w:tcW w:type="dxa" w:w="4968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Padrão de navegação</w:t>
            </w:r>
          </w:p>
        </w:tc>
        <w:trPr>
          <w:tblHeader/>
        </w:trPr>
      </w:tr>
      <w:tr>
        <w:tc>
          <w:tcPr>
            <w:tcW w:type="dxa" w:w="194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AppShell</w:t>
            </w:r>
          </w:p>
        </w:tc>
        <w:tc>
          <w:tcPr>
            <w:tcW w:type="dxa" w:w="324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Painel da empresa e operação.</w:t>
            </w:r>
          </w:p>
        </w:tc>
        <w:tc>
          <w:tcPr>
            <w:tcW w:type="dxa" w:w="496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Sidebar agrupada, topbar, busca, status em tempo real, alternância de tema e menu do usuário.</w:t>
            </w:r>
          </w:p>
        </w:tc>
      </w:tr>
      <w:tr>
        <w:tc>
          <w:tcPr>
            <w:tcW w:type="dxa" w:w="194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AppShellFull</w:t>
            </w:r>
          </w:p>
        </w:tc>
        <w:tc>
          <w:tcPr>
            <w:tcW w:type="dxa" w:w="324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Inbox e telas com uso intenso de espaço.</w:t>
            </w:r>
          </w:p>
        </w:tc>
        <w:tc>
          <w:tcPr>
            <w:tcW w:type="dxa" w:w="496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Mesmo contexto do AppShell, com área principal adaptada para conversa, listas e histórico.</w:t>
            </w:r>
          </w:p>
        </w:tc>
      </w:tr>
      <w:tr>
        <w:tc>
          <w:tcPr>
            <w:tcW w:type="dxa" w:w="194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AdminShell</w:t>
            </w:r>
          </w:p>
        </w:tc>
        <w:tc>
          <w:tcPr>
            <w:tcW w:type="dxa" w:w="324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Super Admin.</w:t>
            </w:r>
          </w:p>
        </w:tc>
        <w:tc>
          <w:tcPr>
            <w:tcW w:type="dxa" w:w="496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Sidebar específica de plataforma, breadcrumbs e contexto de administração global.</w:t>
            </w:r>
          </w:p>
        </w:tc>
      </w:tr>
      <w:tr>
        <w:tc>
          <w:tcPr>
            <w:tcW w:type="dxa" w:w="194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OperatorShell</w:t>
            </w:r>
          </w:p>
        </w:tc>
        <w:tc>
          <w:tcPr>
            <w:tcW w:type="dxa" w:w="324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Rotas legadas de atendimento.</w:t>
            </w:r>
          </w:p>
        </w:tc>
        <w:tc>
          <w:tcPr>
            <w:tcW w:type="dxa" w:w="496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Área simplificada para operador; parte das rotas redireciona para a experiência atual.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ptos" w:hAnsi="Aptos"/>
          <w:b/>
          <w:i w:val="0"/>
          <w:color w:val="111827"/>
          <w:sz w:val="32"/>
        </w:rPr>
        <w:t>Sistema visual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11827"/>
          <w:sz w:val="20"/>
        </w:rPr>
        <w:t>Os tokens ficam em src/styles.css e são a fonte de verdade para cores, superfícies, raios, sombras, tipografia, foco e movimento. O sistema é dark-first, com tema claro equivalente.</w:t>
      </w:r>
    </w:p>
    <w:p>
      <w:pPr>
        <w:pStyle w:val="Heading2"/>
        <w:spacing w:before="200" w:after="120"/>
      </w:pPr>
      <w:r>
        <w:rPr>
          <w:rFonts w:ascii="Aptos" w:hAnsi="Aptos"/>
          <w:b/>
          <w:i w:val="0"/>
          <w:color w:val="111827"/>
          <w:sz w:val="24"/>
        </w:rPr>
        <w:t>Paleta e semântica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088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Token</w:t>
            </w:r>
          </w:p>
        </w:tc>
        <w:tc>
          <w:tcPr>
            <w:tcW w:type="dxa" w:w="3672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Uso previsto</w:t>
            </w:r>
          </w:p>
        </w:tc>
        <w:tc>
          <w:tcPr>
            <w:tcW w:type="dxa" w:w="4392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Leitura visual</w:t>
            </w:r>
          </w:p>
        </w:tc>
        <w:trPr>
          <w:tblHeader/>
        </w:trPr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background e surface 1 a 3</w:t>
            </w:r>
          </w:p>
        </w:tc>
        <w:tc>
          <w:tcPr>
            <w:tcW w:type="dxa" w:w="367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Canvas, agrupamentos e elevação.</w:t>
            </w:r>
          </w:p>
        </w:tc>
        <w:tc>
          <w:tcPr>
            <w:tcW w:type="dxa" w:w="439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Azul quase preto no tema escuro; cinzas azulados no claro.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primary</w:t>
            </w:r>
          </w:p>
        </w:tc>
        <w:tc>
          <w:tcPr>
            <w:tcW w:type="dxa" w:w="367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Ação principal e foco.</w:t>
            </w:r>
          </w:p>
        </w:tc>
        <w:tc>
          <w:tcPr>
            <w:tcW w:type="dxa" w:w="439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Índigo elétrico; usado em botões principais, anéis de foco e destaques.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accent</w:t>
            </w:r>
          </w:p>
        </w:tc>
        <w:tc>
          <w:tcPr>
            <w:tcW w:type="dxa" w:w="367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Sinalização de marca e detalhes.</w:t>
            </w:r>
          </w:p>
        </w:tc>
        <w:tc>
          <w:tcPr>
            <w:tcW w:type="dxa" w:w="439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Ciano; bom para estado ativo secundário e indicadores.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success warning info destructive</w:t>
            </w:r>
          </w:p>
        </w:tc>
        <w:tc>
          <w:tcPr>
            <w:tcW w:type="dxa" w:w="367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Status e risco.</w:t>
            </w:r>
          </w:p>
        </w:tc>
        <w:tc>
          <w:tcPr>
            <w:tcW w:type="dxa" w:w="439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Teal, âmbar, azul e rosa/vermelho. Sempre devem carregar texto ou ícone além da cor.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border input ring</w:t>
            </w:r>
          </w:p>
        </w:tc>
        <w:tc>
          <w:tcPr>
            <w:tcW w:type="dxa" w:w="367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Separação e interação.</w:t>
            </w:r>
          </w:p>
        </w:tc>
        <w:tc>
          <w:tcPr>
            <w:tcW w:type="dxa" w:w="439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Baixo contraste para bordas; foco com anel visível e preservação de contraste.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Aptos" w:hAnsi="Aptos"/>
          <w:b/>
          <w:i w:val="0"/>
          <w:color w:val="111827"/>
          <w:sz w:val="24"/>
        </w:rPr>
        <w:t>Tipografia e espaçamento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944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Aspecto</w:t>
            </w:r>
          </w:p>
        </w:tc>
        <w:tc>
          <w:tcPr>
            <w:tcW w:type="dxa" w:w="3960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Padrão atual</w:t>
            </w:r>
          </w:p>
        </w:tc>
        <w:tc>
          <w:tcPr>
            <w:tcW w:type="dxa" w:w="4248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Diretriz de uso</w:t>
            </w:r>
          </w:p>
        </w:tc>
        <w:trPr>
          <w:tblHeader/>
        </w:trPr>
      </w:tr>
      <w:tr>
        <w:tc>
          <w:tcPr>
            <w:tcW w:type="dxa" w:w="194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Fonte</w:t>
            </w:r>
          </w:p>
        </w:tc>
        <w:tc>
          <w:tcPr>
            <w:tcW w:type="dxa" w:w="396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Inter para interface; Geist Mono para dados técnicos.</w:t>
            </w:r>
          </w:p>
        </w:tc>
        <w:tc>
          <w:tcPr>
            <w:tcW w:type="dxa" w:w="424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Use mono somente para IDs, horários e dados que ganham legibilidade tabular.</w:t>
            </w:r>
          </w:p>
        </w:tc>
      </w:tr>
      <w:tr>
        <w:tc>
          <w:tcPr>
            <w:tcW w:type="dxa" w:w="194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Hierarquia</w:t>
            </w:r>
          </w:p>
        </w:tc>
        <w:tc>
          <w:tcPr>
            <w:tcW w:type="dxa" w:w="396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H1 36 px, H2 28 px, H3 22 px, H4 18 px na base CSS.</w:t>
            </w:r>
          </w:p>
        </w:tc>
        <w:tc>
          <w:tcPr>
            <w:tcW w:type="dxa" w:w="424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Páginas usam títulos concisos, subtítulo informativo e seções menores.</w:t>
            </w:r>
          </w:p>
        </w:tc>
      </w:tr>
      <w:tr>
        <w:tc>
          <w:tcPr>
            <w:tcW w:type="dxa" w:w="194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Raio</w:t>
            </w:r>
          </w:p>
        </w:tc>
        <w:tc>
          <w:tcPr>
            <w:tcW w:type="dxa" w:w="396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Base de 12 px, com escala sm a 2xl.</w:t>
            </w:r>
          </w:p>
        </w:tc>
        <w:tc>
          <w:tcPr>
            <w:tcW w:type="dxa" w:w="424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Cartões e diálogos usam cantos suaves; botões e entradas seguem a mesma família.</w:t>
            </w:r>
          </w:p>
        </w:tc>
      </w:tr>
      <w:tr>
        <w:tc>
          <w:tcPr>
            <w:tcW w:type="dxa" w:w="194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Espaçamento</w:t>
            </w:r>
          </w:p>
        </w:tc>
        <w:tc>
          <w:tcPr>
            <w:tcW w:type="dxa" w:w="396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Classes Tailwind com blocos de 8 a 24 px recorrentes.</w:t>
            </w:r>
          </w:p>
        </w:tc>
        <w:tc>
          <w:tcPr>
            <w:tcW w:type="dxa" w:w="424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Separar ação, contexto e conteúdo; evitar concentrar filtros, CTA e tabela sem respiro.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Aptos" w:hAnsi="Aptos"/>
          <w:b/>
          <w:i w:val="0"/>
          <w:color w:val="111827"/>
          <w:sz w:val="24"/>
        </w:rPr>
        <w:t>Movimento e acessibilidade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11827"/>
          <w:sz w:val="20"/>
        </w:rPr>
        <w:t>Há fade, scale, slide, shimmer e pulse de baixa duração, com respeito a prefers-reduced-motion. O foco visível usa dois anéis, e elementos de estado crítico usam texto e ícone. O sistema já inclui roles em loaders e progressos; novos componentes devem manter labels, foco por teclado e fechamento por Escape quando forem modais.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ptos" w:hAnsi="Aptos"/>
          <w:b/>
          <w:i w:val="0"/>
          <w:color w:val="111827"/>
          <w:sz w:val="32"/>
        </w:rPr>
        <w:t>Componentes próprios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11827"/>
          <w:sz w:val="20"/>
        </w:rPr>
        <w:t>Antes de criar algo novo, a convenção do projeto é consultar ui-kit.tsx, modal.tsx e feedback.tsx. Estes são os blocos que traduzem os tokens em padrões prontos para uso.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800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Grupo</w:t>
            </w:r>
          </w:p>
        </w:tc>
        <w:tc>
          <w:tcPr>
            <w:tcW w:type="dxa" w:w="3816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Componentes</w:t>
            </w:r>
          </w:p>
        </w:tc>
        <w:tc>
          <w:tcPr>
            <w:tcW w:type="dxa" w:w="4536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Quando usar</w:t>
            </w:r>
          </w:p>
        </w:tc>
        <w:trPr>
          <w:tblHeader/>
        </w:trPr>
      </w:tr>
      <w:tr>
        <w:tc>
          <w:tcPr>
            <w:tcW w:type="dxa" w:w="18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Estrutura</w:t>
            </w:r>
          </w:p>
        </w:tc>
        <w:tc>
          <w:tcPr>
            <w:tcW w:type="dxa" w:w="3816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Card, PageHeader, SectionTitle, EmptyState</w:t>
            </w:r>
          </w:p>
        </w:tc>
        <w:tc>
          <w:tcPr>
            <w:tcW w:type="dxa" w:w="4536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Conteúdo agrupado, título de página, divisões de contexto e ausência de dados.</w:t>
            </w:r>
          </w:p>
        </w:tc>
      </w:tr>
      <w:tr>
        <w:tc>
          <w:tcPr>
            <w:tcW w:type="dxa" w:w="18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Ações e entrada</w:t>
            </w:r>
          </w:p>
        </w:tc>
        <w:tc>
          <w:tcPr>
            <w:tcW w:type="dxa" w:w="3816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Button, Input, SearchInput, Textarea, Select</w:t>
            </w:r>
          </w:p>
        </w:tc>
        <w:tc>
          <w:tcPr>
            <w:tcW w:type="dxa" w:w="4536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Formulários, filtros, busca e ações com variante visual clara.</w:t>
            </w:r>
          </w:p>
        </w:tc>
      </w:tr>
      <w:tr>
        <w:tc>
          <w:tcPr>
            <w:tcW w:type="dxa" w:w="18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Informação</w:t>
            </w:r>
          </w:p>
        </w:tc>
        <w:tc>
          <w:tcPr>
            <w:tcW w:type="dxa" w:w="3816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Badge, Avatar, LogoMark, StatCard, KpiCard</w:t>
            </w:r>
          </w:p>
        </w:tc>
        <w:tc>
          <w:tcPr>
            <w:tcW w:type="dxa" w:w="4536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Status, identidade, indicadores e dados resumidos.</w:t>
            </w:r>
          </w:p>
        </w:tc>
      </w:tr>
      <w:tr>
        <w:tc>
          <w:tcPr>
            <w:tcW w:type="dxa" w:w="18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Sobreposições</w:t>
            </w:r>
          </w:p>
        </w:tc>
        <w:tc>
          <w:tcPr>
            <w:tcW w:type="dxa" w:w="3816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Modal, ConfirmDialog, useDisclosure</w:t>
            </w:r>
          </w:p>
        </w:tc>
        <w:tc>
          <w:tcPr>
            <w:tcW w:type="dxa" w:w="4536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Criação, edição, confirmação de ação e detalhes que não exigem trocar de tela.</w:t>
            </w:r>
          </w:p>
        </w:tc>
      </w:tr>
      <w:tr>
        <w:tc>
          <w:tcPr>
            <w:tcW w:type="dxa" w:w="18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Feedback</w:t>
            </w:r>
          </w:p>
        </w:tc>
        <w:tc>
          <w:tcPr>
            <w:tcW w:type="dxa" w:w="3816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Spinner, Skeleton, BlockLoader, TopProgress, Progress, ErrorState, OfflineBanner, ConnectionPill, OnboardingCard</w:t>
            </w:r>
          </w:p>
        </w:tc>
        <w:tc>
          <w:tcPr>
            <w:tcW w:type="dxa" w:w="4536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Carregamento, falha, conectividade, progresso e primeira utilização.</w:t>
            </w:r>
          </w:p>
        </w:tc>
      </w:tr>
      <w:tr>
        <w:tc>
          <w:tcPr>
            <w:tcW w:type="dxa" w:w="18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Especializados</w:t>
            </w:r>
          </w:p>
        </w:tc>
        <w:tc>
          <w:tcPr>
            <w:tcW w:type="dxa" w:w="3816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ReportFiltersBar, DashboardFilters, InstanceTypeCard, filtros de listagem</w:t>
            </w:r>
          </w:p>
        </w:tc>
        <w:tc>
          <w:tcPr>
            <w:tcW w:type="dxa" w:w="4536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Filtros operacionais e apresentações específicas de domínio.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Aptos" w:hAnsi="Aptos"/>
          <w:b/>
          <w:i w:val="0"/>
          <w:color w:val="111827"/>
          <w:sz w:val="24"/>
        </w:rPr>
        <w:t>Exemplo visual de composição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096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Cabeçalho da página</w:t>
            </w:r>
          </w:p>
        </w:tc>
        <w:tc>
          <w:tcPr>
            <w:tcW w:type="dxa" w:w="2880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Ação primária</w:t>
            </w:r>
          </w:p>
        </w:tc>
        <w:tc>
          <w:tcPr>
            <w:tcW w:type="dxa" w:w="4176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Conteúdo</w:t>
            </w:r>
          </w:p>
        </w:tc>
        <w:trPr>
          <w:tblHeader/>
        </w:trPr>
      </w:tr>
      <w:tr>
        <w:tc>
          <w:tcPr>
            <w:tcW w:type="dxa" w:w="3096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Título + explicação curta + breadcrumb quando necessário.</w:t>
            </w:r>
          </w:p>
        </w:tc>
        <w:tc>
          <w:tcPr>
            <w:tcW w:type="dxa" w:w="288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Um CTA principal; ações secundárias em botão neutro ou menu.</w:t>
            </w:r>
          </w:p>
        </w:tc>
        <w:tc>
          <w:tcPr>
            <w:tcW w:type="dxa" w:w="4176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Filtros acima da lista; cartões para resumo; tabela ou lista para registros.</w:t>
            </w:r>
          </w:p>
        </w:tc>
      </w:tr>
    </w:tbl>
    <w:p>
      <w:pPr>
        <w:spacing w:after="40"/>
      </w:pPr>
    </w:p>
    <w:p>
      <w:pPr>
        <w:spacing w:before="0" w:after="160"/>
      </w:pPr>
      <w:r>
        <w:rPr>
          <w:rFonts w:ascii="Aptos" w:hAnsi="Aptos"/>
          <w:b w:val="0"/>
          <w:i w:val="0"/>
          <w:color w:val="111827"/>
          <w:sz w:val="20"/>
        </w:rPr>
        <w:t>Leitura desejada: primeiro entender onde está e o que pode fazer; depois agir; por último explorar dados. Esse arranjo já aparece em Dashboard, CRUDs administrativos, Chamados e Configurações.</w:t>
      </w:r>
    </w:p>
    <w:p>
      <w:pPr>
        <w:pStyle w:val="Heading2"/>
        <w:spacing w:before="200" w:after="120"/>
      </w:pPr>
      <w:r>
        <w:rPr>
          <w:rFonts w:ascii="Aptos" w:hAnsi="Aptos"/>
          <w:b/>
          <w:i w:val="0"/>
          <w:color w:val="111827"/>
          <w:sz w:val="24"/>
        </w:rPr>
        <w:t>Primitivas disponíveis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11827"/>
          <w:sz w:val="20"/>
        </w:rPr>
        <w:t>O catálogo components/ui possui 46 primitivas: accordion, alert, alert-dialog, aspect-ratio, avatar, badge, breadcrumb, button, calendar, card, carousel, chart, checkbox, collapsible, command, context-menu, dialog, drawer, dropdown-menu, form, hover-card, input, input-otp, label, menubar, navigation-menu, pagination, popover, progress, radio-group, resizable, scroll-area, select, separator, sheet, sidebar, skeleton, slider, sonner, switch, table, tabs, textarea, toggle, toggle-group e tooltip.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11827"/>
          <w:sz w:val="20"/>
        </w:rPr>
        <w:t>Elas são a melhor escolha quando a necessidade for interação acessível já resolvida, como diálogo, dropdown, select, tooltip, tabs ou drawer. Para aparência de produto, devem receber tokens atuais e, quando o padrão se repetir, ser encapsuladas no kit próprio.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ptos" w:hAnsi="Aptos"/>
          <w:b/>
          <w:i w:val="0"/>
          <w:color w:val="111827"/>
          <w:sz w:val="32"/>
        </w:rPr>
        <w:t>Padrões de interface observados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088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Padrão</w:t>
            </w:r>
          </w:p>
        </w:tc>
        <w:tc>
          <w:tcPr>
            <w:tcW w:type="dxa" w:w="3456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Aplicação</w:t>
            </w:r>
          </w:p>
        </w:tc>
        <w:tc>
          <w:tcPr>
            <w:tcW w:type="dxa" w:w="4608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Regra prática</w:t>
            </w:r>
          </w:p>
        </w:tc>
        <w:trPr>
          <w:tblHeader/>
        </w:trPr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Sidebar agrupada</w:t>
            </w:r>
          </w:p>
        </w:tc>
        <w:tc>
          <w:tcPr>
            <w:tcW w:type="dxa" w:w="3456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Operação, Administração, Canais e Chamados.</w:t>
            </w:r>
          </w:p>
        </w:tc>
        <w:tc>
          <w:tcPr>
            <w:tcW w:type="dxa" w:w="460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Agrupar por tarefa do usuário; não criar nova seção para uma única tela sem necessidade.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Topbar contextual</w:t>
            </w:r>
          </w:p>
        </w:tc>
        <w:tc>
          <w:tcPr>
            <w:tcW w:type="dxa" w:w="3456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Breadcrumb, conexão, busca, tema e usuário.</w:t>
            </w:r>
          </w:p>
        </w:tc>
        <w:tc>
          <w:tcPr>
            <w:tcW w:type="dxa" w:w="460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Manter ações globais aqui; ações da tela ficam no cabeçalho do conteúdo.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Cartão de superfície</w:t>
            </w:r>
          </w:p>
        </w:tc>
        <w:tc>
          <w:tcPr>
            <w:tcW w:type="dxa" w:w="3456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KPIs, formulários, estados vazios e blocos de configuração.</w:t>
            </w:r>
          </w:p>
        </w:tc>
        <w:tc>
          <w:tcPr>
            <w:tcW w:type="dxa" w:w="460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Usar bg-card, borda e sombra discreta. Não empilhar cartões sem uma razão de agrupamento.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Tabela responsiva</w:t>
            </w:r>
          </w:p>
        </w:tc>
        <w:tc>
          <w:tcPr>
            <w:tcW w:type="dxa" w:w="3456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Listas administrativas e financeiras.</w:t>
            </w:r>
          </w:p>
        </w:tc>
        <w:tc>
          <w:tcPr>
            <w:tcW w:type="dxa" w:w="460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No desktop: cabeçalho curto e ações ao fim. No mobile: rolagem horizontal ou versão em cartões quando a leitura for inviável.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Filtros operacionais</w:t>
            </w:r>
          </w:p>
        </w:tc>
        <w:tc>
          <w:tcPr>
            <w:tcW w:type="dxa" w:w="3456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Dashboard, histórico, relatórios e filas.</w:t>
            </w:r>
          </w:p>
        </w:tc>
        <w:tc>
          <w:tcPr>
            <w:tcW w:type="dxa" w:w="460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Mostrar filtros mais frequentes; filtros avançados em agrupamento expansível quando a tela ficar densa.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Modal com rodapé fixo</w:t>
            </w:r>
          </w:p>
        </w:tc>
        <w:tc>
          <w:tcPr>
            <w:tcW w:type="dxa" w:w="3456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CRUDs e confirmações.</w:t>
            </w:r>
          </w:p>
        </w:tc>
        <w:tc>
          <w:tcPr>
            <w:tcW w:type="dxa" w:w="460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Título, contexto, conteúdo rolável e ações no rodapé. Destrutivo deve exigir confirmação explícita.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Status semântico</w:t>
            </w:r>
          </w:p>
        </w:tc>
        <w:tc>
          <w:tcPr>
            <w:tcW w:type="dxa" w:w="3456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Conexão, fila e mensagens.</w:t>
            </w:r>
          </w:p>
        </w:tc>
        <w:tc>
          <w:tcPr>
            <w:tcW w:type="dxa" w:w="460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Nunca depender apenas de cor. Exibir rótulo, ícone ou ponto acompanhado de texto.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Feedback de rede</w:t>
            </w:r>
          </w:p>
        </w:tc>
        <w:tc>
          <w:tcPr>
            <w:tcW w:type="dxa" w:w="3456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OfflineBanner e ConnectionPill.</w:t>
            </w:r>
          </w:p>
        </w:tc>
        <w:tc>
          <w:tcPr>
            <w:tcW w:type="dxa" w:w="460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Separar indisponibilidade do navegador de reconexão do tempo real.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Aptos" w:hAnsi="Aptos"/>
          <w:b/>
          <w:i w:val="0"/>
          <w:color w:val="111827"/>
          <w:sz w:val="24"/>
        </w:rPr>
        <w:t>Estados que toda tela de dados deve cobrir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872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3600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Componente recomendado</w:t>
            </w:r>
          </w:p>
        </w:tc>
        <w:tc>
          <w:tcPr>
            <w:tcW w:type="dxa" w:w="4680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Mensagem esperada</w:t>
            </w:r>
          </w:p>
        </w:tc>
        <w:trPr>
          <w:tblHeader/>
        </w:trPr>
      </w:tr>
      <w:tr>
        <w:tc>
          <w:tcPr>
            <w:tcW w:type="dxa" w:w="187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Carregando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Skeleton, BlockLoader ou TableRowsSkeleton</w:t>
            </w:r>
          </w:p>
        </w:tc>
        <w:tc>
          <w:tcPr>
            <w:tcW w:type="dxa" w:w="468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O que está sendo carregado, sem travar o layout.</w:t>
            </w:r>
          </w:p>
        </w:tc>
      </w:tr>
      <w:tr>
        <w:tc>
          <w:tcPr>
            <w:tcW w:type="dxa" w:w="187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Vazio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EmptyState ou Card contextual</w:t>
            </w:r>
          </w:p>
        </w:tc>
        <w:tc>
          <w:tcPr>
            <w:tcW w:type="dxa" w:w="468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O que ainda não existe e qual ação cria o primeiro item.</w:t>
            </w:r>
          </w:p>
        </w:tc>
      </w:tr>
      <w:tr>
        <w:tc>
          <w:tcPr>
            <w:tcW w:type="dxa" w:w="187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Erro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ErrorState + toast quando aplicável</w:t>
            </w:r>
          </w:p>
        </w:tc>
        <w:tc>
          <w:tcPr>
            <w:tcW w:type="dxa" w:w="468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O que falhou, impacto e ação de tentar novamente.</w:t>
            </w:r>
          </w:p>
        </w:tc>
      </w:tr>
      <w:tr>
        <w:tc>
          <w:tcPr>
            <w:tcW w:type="dxa" w:w="187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Sem conexão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OfflineBanner e ConnectionPill</w:t>
            </w:r>
          </w:p>
        </w:tc>
        <w:tc>
          <w:tcPr>
            <w:tcW w:type="dxa" w:w="468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Se a mudança foi adiada, se há fallback e o que o usuário pode fazer.</w:t>
            </w:r>
          </w:p>
        </w:tc>
      </w:tr>
      <w:tr>
        <w:tc>
          <w:tcPr>
            <w:tcW w:type="dxa" w:w="187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Permissão insuficiente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Gate de rota e mensagem contextual</w:t>
            </w:r>
          </w:p>
        </w:tc>
        <w:tc>
          <w:tcPr>
            <w:tcW w:type="dxa" w:w="468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Evitar renderizar controles que a pessoa não pode concluir.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ptos" w:hAnsi="Aptos"/>
          <w:b/>
          <w:i w:val="0"/>
          <w:color w:val="111827"/>
          <w:sz w:val="32"/>
        </w:rPr>
        <w:t>Inventário completo de telas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11827"/>
          <w:sz w:val="20"/>
        </w:rPr>
        <w:t>A lista abaixo cobre as 60 rotas declaradas. Rotas de layout, índice e redirecionamento entram para deixar claro o desenho de navegação e evitar telas órfãs.</w:t>
      </w:r>
    </w:p>
    <w:p>
      <w:pPr>
        <w:pStyle w:val="Heading2"/>
        <w:spacing w:before="200" w:after="120"/>
      </w:pPr>
      <w:r>
        <w:rPr>
          <w:rFonts w:ascii="Aptos" w:hAnsi="Aptos"/>
          <w:b/>
          <w:i w:val="0"/>
          <w:color w:val="111827"/>
          <w:sz w:val="24"/>
        </w:rPr>
        <w:t>Acesso e operação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088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Rota</w:t>
            </w:r>
          </w:p>
        </w:tc>
        <w:tc>
          <w:tcPr>
            <w:tcW w:type="dxa" w:w="3600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Tela ou finalidade</w:t>
            </w:r>
          </w:p>
        </w:tc>
        <w:tc>
          <w:tcPr>
            <w:tcW w:type="dxa" w:w="4464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Padrão dominante</w:t>
            </w:r>
          </w:p>
        </w:tc>
        <w:trPr>
          <w:tblHeader/>
        </w:trPr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/login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Autenticação e saúde pré-login.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Tela sem shell; formulário, feedback inline e toast.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Dashboard operacional.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Filtros, KPIs, gráficos e atividade recente.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/inbox e /inbox/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Lista de conversas.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Shell full-height; filtros, lista e estados operacionais.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/inbox/$conversationId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Conversa individual.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Painel de mensagens, composer, status e contexto do contato.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/historico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Histórico de conversas.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Busca, filtros e leitura de registros.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/relatorios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Relatórios.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Filtros de período e visualização analítica.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/filas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Filas administrativas.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Visão operacional de distribuição e prioridades.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/mensagens-rapidas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Quick replies.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CRUD de conteúdo curto e uso no composer.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/agendamentos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Agendamentos.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Calendário/lista e formulário de programação.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/chamados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Chamados.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Lista paginada, filtros, detalhe, comentários e atrixus.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Aptos" w:hAnsi="Aptos"/>
          <w:b/>
          <w:i w:val="0"/>
          <w:color w:val="111827"/>
          <w:sz w:val="24"/>
        </w:rPr>
        <w:t>CRM, cadastros e administração da empresa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088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Rota</w:t>
            </w:r>
          </w:p>
        </w:tc>
        <w:tc>
          <w:tcPr>
            <w:tcW w:type="dxa" w:w="3600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Tela ou finalidade</w:t>
            </w:r>
          </w:p>
        </w:tc>
        <w:tc>
          <w:tcPr>
            <w:tcW w:type="dxa" w:w="4464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Padrão dominante</w:t>
            </w:r>
          </w:p>
        </w:tc>
        <w:trPr>
          <w:tblHeader/>
        </w:trPr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/contatos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Contatos.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Busca, tabela/lista e CRUD com dados de canal.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/clientes, /empresas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Rotas legadas/redirecionadas.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Preservam compatibilidade de navegação.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/grupos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Gerenciar grupos.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Lista e ações de grupo vinculadas a conversas.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/atendentes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Gestão de atendentes.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Tabela, formulário e associação a perfil/departamento.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/perfis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Perfis de acesso.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CRUD de papéis e matriz de permissões.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/departamentos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Departamentos.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Lista, criação, edição e ativação.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/etiquetas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Etiquetas.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Catálogo de tags para uso no atendimento.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/perfil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Perfil pessoal.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Dados da sessão e preferências do usuário.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Aptos" w:hAnsi="Aptos"/>
          <w:b/>
          <w:i w:val="0"/>
          <w:color w:val="111827"/>
          <w:sz w:val="24"/>
        </w:rPr>
        <w:t>Canais, automação e suporte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088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Rota</w:t>
            </w:r>
          </w:p>
        </w:tc>
        <w:tc>
          <w:tcPr>
            <w:tcW w:type="dxa" w:w="3600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Tela ou finalidade</w:t>
            </w:r>
          </w:p>
        </w:tc>
        <w:tc>
          <w:tcPr>
            <w:tcW w:type="dxa" w:w="4464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Padrão dominante</w:t>
            </w:r>
          </w:p>
        </w:tc>
        <w:trPr>
          <w:tblHeader/>
        </w:trPr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/instancias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Instâncias de mensageria.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Cartões/listas de conexão, QR, status e ações de ciclo de vida.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/chatbot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Fluxo de Bot.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Configuração de automação e navegação para o fluxo.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/automacoes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Automações.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Catálogo e gestão de regras automatizadas.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/agente-ia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Agente de IA.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Configuração guiada de capacidade em consolidação.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/campanhas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Campanhas.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Planejamento, lista e acompanhamento de disparos.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/bi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Business intelligence.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Visão analítica complementar.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/ajuda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Ajuda.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Conteúdo guiado e resolução de dúvidas.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ptos" w:hAnsi="Aptos"/>
          <w:b/>
          <w:i w:val="0"/>
          <w:color w:val="111827"/>
          <w:sz w:val="32"/>
        </w:rPr>
        <w:t>Inventário completo de telas continuação</w:t>
      </w:r>
    </w:p>
    <w:p>
      <w:pPr>
        <w:pStyle w:val="Heading2"/>
        <w:spacing w:before="200" w:after="120"/>
      </w:pPr>
      <w:r>
        <w:rPr>
          <w:rFonts w:ascii="Aptos" w:hAnsi="Aptos"/>
          <w:b/>
          <w:i w:val="0"/>
          <w:color w:val="111827"/>
          <w:sz w:val="24"/>
        </w:rPr>
        <w:t>Configurações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088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Rota</w:t>
            </w:r>
          </w:p>
        </w:tc>
        <w:tc>
          <w:tcPr>
            <w:tcW w:type="dxa" w:w="3600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Tela ou finalidade</w:t>
            </w:r>
          </w:p>
        </w:tc>
        <w:tc>
          <w:tcPr>
            <w:tcW w:type="dxa" w:w="4464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Padrão dominante</w:t>
            </w:r>
          </w:p>
        </w:tc>
        <w:trPr>
          <w:tblHeader/>
        </w:trPr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/configuracoes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Layout de configurações.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Navegação lateral interna com Outlet.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/configuracoes/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Entrada que redireciona para Empresa.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Redirecionamento de conveniência.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/configuracoes/empresa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Perfil da empresa.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Formulário de dados institucionais.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/configuracoes/geral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Filas e preferências gerais.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Lista configurável, toggles e salvamento.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/configuracoes/horarios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Horários de atendimento.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Grade de dias, intervalos e toggles.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/configuracoes/usuarios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Usuários.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Lista de membros e vínculos.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/configuracoes/permissoes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Permissões.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Leitura e gestão de papéis.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/configuracoes/campos-contato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Campos personalizados.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Tabela desktop, cartões mobile e ordenação por arrastar.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/configuracoes/integracoes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Integrações.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Configuração de conexões externas.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/configuracoes/financeiro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Financeiro.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Filtros e tabela de pagamentos.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/configuracoes/mensagens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Redireciona para Automações.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Compatibilidade de navegação.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/configuracoes/seguranca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Redireciona para Geral.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Compatibilidade de navegação.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Aptos" w:hAnsi="Aptos"/>
          <w:b/>
          <w:i w:val="0"/>
          <w:color w:val="111827"/>
          <w:sz w:val="24"/>
        </w:rPr>
        <w:t>Atendimento legado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088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Rota</w:t>
            </w:r>
          </w:p>
        </w:tc>
        <w:tc>
          <w:tcPr>
            <w:tcW w:type="dxa" w:w="3600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Finalidade</w:t>
            </w:r>
          </w:p>
        </w:tc>
        <w:tc>
          <w:tcPr>
            <w:tcW w:type="dxa" w:w="4464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Comportamento</w:t>
            </w:r>
          </w:p>
        </w:tc>
        <w:trPr>
          <w:tblHeader/>
        </w:trPr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/atendimento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Layout legado.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Outlet de compatibilidade.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/atendimento/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Entrada legada.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Redirecionamento.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/atendimento/inbox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Inbox legada.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Redireciona para experiência principal.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/atendimento/historico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Histórico legado.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Redireciona para experiência principal.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/atendimento/clientes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Clientes legado.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Redireciona para rota atual.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/atendimento/favoritos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Favoritos legado.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Redirecionamento.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/atendimento/perfil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Perfil legado.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Redireciona para Perfil.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Aptos" w:hAnsi="Aptos"/>
          <w:b/>
          <w:i w:val="0"/>
          <w:color w:val="111827"/>
          <w:sz w:val="24"/>
        </w:rPr>
        <w:t>Super Admin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088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Rota</w:t>
            </w:r>
          </w:p>
        </w:tc>
        <w:tc>
          <w:tcPr>
            <w:tcW w:type="dxa" w:w="3600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Tela ou finalidade</w:t>
            </w:r>
          </w:p>
        </w:tc>
        <w:tc>
          <w:tcPr>
            <w:tcW w:type="dxa" w:w="4464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Padrão dominante</w:t>
            </w:r>
          </w:p>
        </w:tc>
        <w:trPr>
          <w:tblHeader/>
        </w:trPr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/admin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Shell de plataforma.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Gate de super admin e Outlet.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/admin/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Dashboard de plataforma.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KPIs e acompanhamento global.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/admin/empresas, /admin/empresas/$tenantId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Empresas e detalhe do tenant.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Tabela, detalhe e navegação hierárquica.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/admin/planos, /admin/assinaturas, /admin/financeiro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Oferta e receita.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Catálogos, status e registros financeiros.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/admin/monitoramento, /admin/logs, /admin/auditoria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Operação e auditoria.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Leitura de eventos, saúde e rastreabilidade.</w:t>
            </w:r>
          </w:p>
        </w:tc>
      </w:tr>
      <w:tr>
        <w:tc>
          <w:tcPr>
            <w:tcW w:type="dxa" w:w="2088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/admin/licencas, /admin/suporte, /admin/configuracoes</w:t>
            </w:r>
          </w:p>
        </w:tc>
        <w:tc>
          <w:tcPr>
            <w:tcW w:type="dxa" w:w="3600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Gestão de plataforma.</w:t>
            </w:r>
          </w:p>
        </w:tc>
        <w:tc>
          <w:tcPr>
            <w:tcW w:type="dxa" w:w="446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Configurações e suporte global.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ptos" w:hAnsi="Aptos"/>
          <w:b/>
          <w:i w:val="0"/>
          <w:color w:val="111827"/>
          <w:sz w:val="32"/>
        </w:rPr>
        <w:t>Referência visual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11827"/>
          <w:sz w:val="20"/>
        </w:rPr>
        <w:t>A imagem abaixo é o ativo de fundo usado no login desktop. Ela ilustra o papel dos elementos gráficos na interface: reforçar a marca sem competir com o formulário. Nas telas internas, a identidade vem prioritariamente dos tokens, superfícies e ícones, e não de imagens decorativas.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714458"/>
            <wp:docPr id="1" name="Picture 1" descr="Image: image1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-desktop-backgroun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4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b w:val="0"/>
          <w:i/>
          <w:color w:val="5E6B7A"/>
          <w:sz w:val="16"/>
        </w:rPr>
        <w:t>Ativo existente: fundo de login para desktop</w:t>
      </w:r>
    </w:p>
    <w:p>
      <w:pPr>
        <w:pStyle w:val="Heading2"/>
        <w:spacing w:before="200" w:after="120"/>
      </w:pPr>
      <w:r>
        <w:rPr>
          <w:rFonts w:ascii="Aptos" w:hAnsi="Aptos"/>
          <w:b/>
          <w:i w:val="0"/>
          <w:color w:val="111827"/>
          <w:sz w:val="24"/>
        </w:rPr>
        <w:t>Exemplos de componentes na prática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944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Elemento</w:t>
            </w:r>
          </w:p>
        </w:tc>
        <w:tc>
          <w:tcPr>
            <w:tcW w:type="dxa" w:w="3672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Representação</w:t>
            </w:r>
          </w:p>
        </w:tc>
        <w:tc>
          <w:tcPr>
            <w:tcW w:type="dxa" w:w="4536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Uso</w:t>
            </w:r>
          </w:p>
        </w:tc>
        <w:trPr>
          <w:tblHeader/>
        </w:trPr>
      </w:tr>
      <w:tr>
        <w:tc>
          <w:tcPr>
            <w:tcW w:type="dxa" w:w="194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Ação primária</w:t>
            </w:r>
          </w:p>
        </w:tc>
        <w:tc>
          <w:tcPr>
            <w:tcW w:type="dxa" w:w="367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Botão de destaque em índigo/gradiente</w:t>
            </w:r>
          </w:p>
        </w:tc>
        <w:tc>
          <w:tcPr>
            <w:tcW w:type="dxa" w:w="4536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Salvar, criar, conectar, enviar ou confirmar.</w:t>
            </w:r>
          </w:p>
        </w:tc>
      </w:tr>
      <w:tr>
        <w:tc>
          <w:tcPr>
            <w:tcW w:type="dxa" w:w="194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Ação secundária</w:t>
            </w:r>
          </w:p>
        </w:tc>
        <w:tc>
          <w:tcPr>
            <w:tcW w:type="dxa" w:w="367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Botão de superfície ou contorno</w:t>
            </w:r>
          </w:p>
        </w:tc>
        <w:tc>
          <w:tcPr>
            <w:tcW w:type="dxa" w:w="4536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Cancelar, voltar, filtrar, editar e ações reversíveis.</w:t>
            </w:r>
          </w:p>
        </w:tc>
      </w:tr>
      <w:tr>
        <w:tc>
          <w:tcPr>
            <w:tcW w:type="dxa" w:w="194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Status</w:t>
            </w:r>
          </w:p>
        </w:tc>
        <w:tc>
          <w:tcPr>
            <w:tcW w:type="dxa" w:w="367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Pílula com ponto + texto</w:t>
            </w:r>
          </w:p>
        </w:tc>
        <w:tc>
          <w:tcPr>
            <w:tcW w:type="dxa" w:w="4536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Conectado, fila, aviso, erro, entregue e lida.</w:t>
            </w:r>
          </w:p>
        </w:tc>
      </w:tr>
      <w:tr>
        <w:tc>
          <w:tcPr>
            <w:tcW w:type="dxa" w:w="194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Resumo</w:t>
            </w:r>
          </w:p>
        </w:tc>
        <w:tc>
          <w:tcPr>
            <w:tcW w:type="dxa" w:w="367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Cartão com rótulo, valor e tendência</w:t>
            </w:r>
          </w:p>
        </w:tc>
        <w:tc>
          <w:tcPr>
            <w:tcW w:type="dxa" w:w="4536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Dashboard e painel administrativo.</w:t>
            </w:r>
          </w:p>
        </w:tc>
      </w:tr>
      <w:tr>
        <w:tc>
          <w:tcPr>
            <w:tcW w:type="dxa" w:w="194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Entrada</w:t>
            </w:r>
          </w:p>
        </w:tc>
        <w:tc>
          <w:tcPr>
            <w:tcW w:type="dxa" w:w="3672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Campo com borda discreta e foco em índigo</w:t>
            </w:r>
          </w:p>
        </w:tc>
        <w:tc>
          <w:tcPr>
            <w:tcW w:type="dxa" w:w="4536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Busca, formulário e seleção.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Aptos" w:hAnsi="Aptos"/>
          <w:b/>
          <w:i w:val="0"/>
          <w:color w:val="111827"/>
          <w:sz w:val="24"/>
        </w:rPr>
        <w:t>Responsividade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11827"/>
          <w:sz w:val="20"/>
        </w:rPr>
        <w:t>O CSS prevê adaptação em telas estreitas: tabelas reduzem tipografia e mantêm rolagem horizontal; inputs usam 16 px no mobile para evitar zoom do navegador; a sidebar muda de comportamento; e alguns formulários transformam tabelas em cartões. A validação futura deve cobrir pelo menos desktop amplo, notebook e mobile real nos fluxos Inbox, Contatos, Chamados e Configurações de campos.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ptos" w:hAnsi="Aptos"/>
          <w:b/>
          <w:i w:val="0"/>
          <w:color w:val="111827"/>
          <w:sz w:val="32"/>
        </w:rPr>
        <w:t>Revisão de UX UI e prioridades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11827"/>
          <w:sz w:val="20"/>
        </w:rPr>
        <w:t>A seguir estão recomendações derivadas da estrutura e dos padrões encontrados. Elas foram classificadas pela relação entre impacto na experiência e esforço de consolidação.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037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Prioridade</w:t>
            </w:r>
          </w:p>
        </w:tc>
        <w:tc>
          <w:tcPr>
            <w:tcW w:type="dxa" w:w="3384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Oportunidade</w:t>
            </w:r>
          </w:p>
        </w:tc>
        <w:tc>
          <w:tcPr>
            <w:tcW w:type="dxa" w:w="5731"/>
            <w:shd w:fill="1B263B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Recomendação</w:t>
            </w:r>
          </w:p>
        </w:tc>
        <w:trPr>
          <w:tblHeader/>
        </w:trPr>
      </w:tr>
      <w:tr>
        <w:tc>
          <w:tcPr>
            <w:tcW w:type="dxa" w:w="1037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Alta</w:t>
            </w:r>
          </w:p>
        </w:tc>
        <w:tc>
          <w:tcPr>
            <w:tcW w:type="dxa" w:w="338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Convergir a camada de componentes.</w:t>
            </w:r>
          </w:p>
        </w:tc>
        <w:tc>
          <w:tcPr>
            <w:tcW w:type="dxa" w:w="5731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Definir o kit próprio como porta de entrada visual. Encapsular as primitivas shadcn/Radix usadas com frequência, evitando que Button, Card, Dialog, Badge e Input ganhem estilos concorrentes.</w:t>
            </w:r>
          </w:p>
        </w:tc>
      </w:tr>
      <w:tr>
        <w:tc>
          <w:tcPr>
            <w:tcW w:type="dxa" w:w="1037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Alta</w:t>
            </w:r>
          </w:p>
        </w:tc>
        <w:tc>
          <w:tcPr>
            <w:tcW w:type="dxa" w:w="338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Padronizar telas de lista e CRUD.</w:t>
            </w:r>
          </w:p>
        </w:tc>
        <w:tc>
          <w:tcPr>
            <w:tcW w:type="dxa" w:w="5731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Criar templates explícitos para ListPage, DetailPage e FormPage: cabeçalho, CTA, filtros, carregamento, vazio, erro e ações por linha.</w:t>
            </w:r>
          </w:p>
        </w:tc>
      </w:tr>
      <w:tr>
        <w:tc>
          <w:tcPr>
            <w:tcW w:type="dxa" w:w="1037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Alta</w:t>
            </w:r>
          </w:p>
        </w:tc>
        <w:tc>
          <w:tcPr>
            <w:tcW w:type="dxa" w:w="338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Separar navegação atual de legado.</w:t>
            </w:r>
          </w:p>
        </w:tc>
        <w:tc>
          <w:tcPr>
            <w:tcW w:type="dxa" w:w="5731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Manter redirecionamentos necessários, mas marcar rotas /atendimento e aliases de configuração como compatibilidade e definir data/plano de descontinuação.</w:t>
            </w:r>
          </w:p>
        </w:tc>
      </w:tr>
      <w:tr>
        <w:tc>
          <w:tcPr>
            <w:tcW w:type="dxa" w:w="1037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Média</w:t>
            </w:r>
          </w:p>
        </w:tc>
        <w:tc>
          <w:tcPr>
            <w:tcW w:type="dxa" w:w="338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Reduzir densidade em áreas administrativas.</w:t>
            </w:r>
          </w:p>
        </w:tc>
        <w:tc>
          <w:tcPr>
            <w:tcW w:type="dxa" w:w="5731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Agrupar filtros avançados, preservar uma ação principal por tela e converter tabelas extensas em cartões no mobile quando rolagem horizontal prejudicar a tomada de decisão.</w:t>
            </w:r>
          </w:p>
        </w:tc>
      </w:tr>
      <w:tr>
        <w:tc>
          <w:tcPr>
            <w:tcW w:type="dxa" w:w="1037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Média</w:t>
            </w:r>
          </w:p>
        </w:tc>
        <w:tc>
          <w:tcPr>
            <w:tcW w:type="dxa" w:w="338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Formalizar conteúdo de estado vazio.</w:t>
            </w:r>
          </w:p>
        </w:tc>
        <w:tc>
          <w:tcPr>
            <w:tcW w:type="dxa" w:w="5731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Cada domínio deve explicar por que está vazio e oferecer próximo passo: conectar instância, criar primeiro contato, abrir chamado ou ajustar filtros.</w:t>
            </w:r>
          </w:p>
        </w:tc>
      </w:tr>
      <w:tr>
        <w:tc>
          <w:tcPr>
            <w:tcW w:type="dxa" w:w="1037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Média</w:t>
            </w:r>
          </w:p>
        </w:tc>
        <w:tc>
          <w:tcPr>
            <w:tcW w:type="dxa" w:w="338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Criar guia de uso de status.</w:t>
            </w:r>
          </w:p>
        </w:tc>
        <w:tc>
          <w:tcPr>
            <w:tcW w:type="dxa" w:w="5731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8FAFC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Documentar mapeamento de cores, textos, ícones e regras de atualização para mensagens, conexões, campanhas e chamados.</w:t>
            </w:r>
          </w:p>
        </w:tc>
      </w:tr>
      <w:tr>
        <w:tc>
          <w:tcPr>
            <w:tcW w:type="dxa" w:w="1037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Baixa</w:t>
            </w:r>
          </w:p>
        </w:tc>
        <w:tc>
          <w:tcPr>
            <w:tcW w:type="dxa" w:w="3384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Inventariar componentes não utilizados.</w:t>
            </w:r>
          </w:p>
        </w:tc>
        <w:tc>
          <w:tcPr>
            <w:tcW w:type="dxa" w:w="5731"/>
            <w:tcBorders>
              <w:top w:val="single" w:sz="4" w:color="D9DDE4"/>
              <w:left w:val="single" w:sz="4" w:color="D9DDE4"/>
              <w:bottom w:val="single" w:sz="4" w:color="D9DDE4"/>
              <w:right w:val="single" w:sz="4" w:color="D9DDE4"/>
              <w:insideH w:val="single" w:sz="4" w:color="D9DDE4"/>
              <w:insideV w:val="single" w:sz="4" w:color="D9DDE4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11827"/>
                <w:sz w:val="16"/>
              </w:rPr>
              <w:t>As 46 primitivas disponíveis não precisam todas ser expostas ao produto; reduzir o catálogo mental acelera decisões e preserva consistência.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rFonts w:ascii="Aptos" w:hAnsi="Aptos"/>
          <w:b/>
          <w:i w:val="0"/>
          <w:color w:val="111827"/>
          <w:sz w:val="24"/>
        </w:rPr>
        <w:t>Checklist para nova tela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11827"/>
          <w:sz w:val="19"/>
        </w:rPr>
        <w:t>A rota está dentro do shell correto e aparece somente para quem tem permissão?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11827"/>
          <w:sz w:val="19"/>
        </w:rPr>
        <w:t>O cabeçalho explica a tarefa e há uma única ação primária clara?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11827"/>
          <w:sz w:val="19"/>
        </w:rPr>
        <w:t>A página reutiliza Card, Button, Input, Modal e Feedback antes de criar estilo local?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11827"/>
          <w:sz w:val="19"/>
        </w:rPr>
        <w:t>Há estados de carregamento, vazio, erro e offline? Eles preservam o layout?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11827"/>
          <w:sz w:val="19"/>
        </w:rPr>
        <w:t>A interface funciona por teclado, mostra foco e não comunica status somente por cor?</w:t>
      </w:r>
    </w:p>
    <w:p>
      <w:pPr>
        <w:pStyle w:val="ListBullet"/>
        <w:spacing w:after="60"/>
      </w:pPr>
      <w:r>
        <w:rPr>
          <w:rFonts w:ascii="Aptos" w:hAnsi="Aptos"/>
          <w:b w:val="0"/>
          <w:i w:val="0"/>
          <w:color w:val="111827"/>
          <w:sz w:val="19"/>
        </w:rPr>
        <w:t>Tabelas e formulários continuam legíveis em mobile e notebook?</w:t>
      </w:r>
    </w:p>
    <w:p>
      <w:pPr>
        <w:pStyle w:val="Heading2"/>
        <w:spacing w:before="200" w:after="120"/>
      </w:pPr>
      <w:r>
        <w:rPr>
          <w:rFonts w:ascii="Aptos" w:hAnsi="Aptos"/>
          <w:b/>
          <w:i w:val="0"/>
          <w:color w:val="111827"/>
          <w:sz w:val="24"/>
        </w:rPr>
        <w:t>Conclusão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11827"/>
          <w:sz w:val="20"/>
        </w:rPr>
        <w:t>O Trixus já possui um design system funcional e uma boa base de shells, tokens e feedback. A maturidade seguinte não depende de reinventar a estética: depende de tornar os padrões explícitos, reduzir variantes paralelas e usar os mesmos blocos nas áreas operacionais, administrativas e de plataforma.</w:t>
      </w:r>
    </w:p>
    <w:sectPr w:rsidR="00FC693F" w:rsidRPr="0006063C" w:rsidSect="00034616">
      <w:foot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E6B7A"/>
        <w:sz w:val="16"/>
      </w:rPr>
      <w:t>Trixus  |  Guia de UX UI e Componentes  |  Setembro de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