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jeto-de-pesquisa"/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PROJETO DE PESQUISA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Título: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Educar para prevenir: a formação policial como pilar do compliance na mitigação de desvios de conduta na Polícia Militar do Estado de Goiás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Linha de pesquisa: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Políticas de Segurança Pública e de Enfrentamento à Desigualdade Estrutural</w:t>
      </w:r>
    </w:p>
    <w:bookmarkStart w:id="20" w:name="introdução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1 INTRODUÇÃO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controle da atividade policial no Brasil foi historicamente concebido em chave repressiva. Corregedorias, procedimentos disciplinares, controle externo pelo Ministério Público (art. 129, VII, da Constituição Federal) e responsabilização penal atuam, em regra, depois que o desvio já ocorreu. Estudo anterior sobre indicadores de desempenho como mecanismo de controle do policiamento comunitário concluiu que esses instrumentos perdem eficácia quando atuam de forma isolada e desarticulada, e que faltam mecanismos de natureza preventiva, capazes de acionar princípios éticos, e não apenas o temor da punição.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compliance público oferece precisamente essa perspectiva preventiva. Introduzido no setor público federal pelo Decreto nº 9.203/2017, o instituto assenta-se em pilares como o comprometimento da alta administração, a gestão de riscos, os canais de denúncia, a responsabilização e, de modo especial, o treinamento e a comunicação (MOTA, 2020). Em Goiás, o Programa de Compliance Público do Poder Executivo, instituído pelo Decreto estadual nº 9.406/2019, alcançou a Polícia Militar, que criou comitê setorial, escritório de compliance e política de gestão de riscos, além de contar com Código de Ética instituído pela Lei estadual nº 19.969/2018.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plano nacional, a Lei nº 13.675/2018, que institui o Sistema Único de Segurança Pública, criou o Sistema Integrado de Educação e Valorização Profissional, e a Lei nº 14.751/2023, Lei Orgânica Nacional das Polícias Militares, reafirmou o sistema de ensino próprio das corporações. A formação policial é, portanto, um espaço institucional privilegiado para converter regras de integridade em conduta. Resta saber se ela efetivamente cumpre esse papel.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Fixada essa premissa, formula-se a seguinte questão de pesquisa: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em que medida a educação policial, como pilar do compliance, tem sido empregada pela Polícia Militar do Estado de Goiás como mecanismo preventivo de desvios de conduta de seus integrantes?</w:t>
      </w:r>
    </w:p>
    <w:bookmarkEnd w:id="20"/>
    <w:bookmarkStart w:id="21" w:name="justificativa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 JUSTIFICATIVA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Do ponto de vista científico, a pesquisa articula dois campos que costumam caminhar separados. A literatura sobre controle da atividade policial privilegia corregedorias, ouvidorias e controle externo (LEMGRUBER; MUSUMECI; CANO, 2003; PEDROSA JÚNIOR; MONTEIRO; NASCIMENTO, 2023), enquanto a literatura sobre compliance público concentra-se em órgãos civis da administração (MOTA, 2020; ZENKNER; CASTRO, 2020). Além disso, revisão recente sobre controle disciplinar nas polícias militares constatou que a produção sobre o tema ainda apresenta fragilidades metodológicas (ARAÚJO; OLIVEIRA; SAMPAIO, 2025). Falta investigar a educação policial como instrumento de integridade, isto é, como mecanismo de controle positivo e preventivo.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Na dimensão jurídica, o estudo examina a efetividade de um conjunto normativo recente, composto pela legislação do Sistema Único de Segurança Pública, pela Lei Orgânica Nacional das Polícias Militares e pelo programa estadual de compliance, verificando se os deveres de integridade nele previstos se traduzem em conteúdos e práticas formativas.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Na dimensão social, desvios de conduta policial, como abuso de autoridade, uso excessivo da força e corrupção, corroem a confiança da população e a legitimidade das instituições de segurança pública (TYLER, 2006). Preveni-los por meio da formação, e não apenas puni-los, protege simultaneamente os cidadãos, os próprios policiais e a instituição. O tema dialoga diretamente com a linha de políticas de segurança pública e com a vertente de controle e efetividade das políticas públicas.</w:t>
      </w:r>
    </w:p>
    <w:bookmarkEnd w:id="21"/>
    <w:bookmarkStart w:id="22" w:name="objetivos-e-hipótese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3 OBJETIVOS E HIPÓTESE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Objetivo geral: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analisar em que medida a educação policial, como pilar do compliance, tem sido empregada pela Polícia Militar do Estado de Goiás como mecanismo preventivo de desvios de conduta de seus integrantes.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Objetivos específicos:</w:t>
      </w:r>
    </w:p>
    <w:p>
      <w:pPr>
        <w:numPr>
          <w:ilvl w:val="0"/>
          <w:numId w:val="1001"/>
        </w:num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sistematizar os deveres de integridade e de formação ética previstos na legislação nacional e estadual e no Programa de Compliance Público aplicável à corporação;</w:t>
      </w:r>
    </w:p>
    <w:p>
      <w:pPr>
        <w:numPr>
          <w:ilvl w:val="0"/>
          <w:numId w:val="1001"/>
        </w:num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examinar se os cursos de formação e de capacitação continuada contemplam conteúdos de integridade, ética, direitos humanos e gestão de riscos, à luz dos pilares do compliance;</w:t>
      </w:r>
    </w:p>
    <w:p>
      <w:pPr>
        <w:numPr>
          <w:ilvl w:val="0"/>
          <w:numId w:val="1001"/>
        </w:num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identificar, nos dados da corregedoria, as principais tipologias de desvios de conduta e verificar se elas são tratadas nos conteúdos formativos;</w:t>
      </w:r>
    </w:p>
    <w:p>
      <w:pPr>
        <w:numPr>
          <w:ilvl w:val="0"/>
          <w:numId w:val="1001"/>
        </w:num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compreender as percepções de policiais, instrutores e integrantes da corregedoria e do escritório de compliance sobre o papel da educação na prevenção de desvios;</w:t>
      </w:r>
    </w:p>
    <w:p>
      <w:pPr>
        <w:numPr>
          <w:ilvl w:val="0"/>
          <w:numId w:val="1001"/>
        </w:num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propor uma trilha formativa de integridade para a formação inicial e continuada de policiais militares.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Hipótese: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formação policial trata a integridade de modo predominantemente normativo e disciplinar, como conhecimento de regulamentos e sanções, e pouco como desenvolvimento de competências éticas e de gestão de riscos. Por isso, apresenta baixa articulação com as tipologias de desvio efetivamente registradas e contribui pouco para a prevenção, mantendo o controle da atividade policial dependente de mecanismos repressivos.</w:t>
      </w:r>
    </w:p>
    <w:bookmarkEnd w:id="22"/>
    <w:bookmarkStart w:id="23" w:name="referencial-teórico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4 REFERENCIAL TEÓRICO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referencial organiza-se em três eixos: o compliance e a integridade no setor público; o controle democrático da atividade policial; e a educação policial como mecanismo de controle positivo.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primeiro eixo, o compliance é compreendido como o conjunto de mecanismos destinados a assegurar a conformidade da organização às normas e a promover uma cultura ética (MENDES; CARVALHO, 2017). Sua origem remonta ao setor bancário, com a criação do Bank for International Settlements em 1930, e sua difusão internacional deve-se à legislação norte-americana anticorrupção. No Brasil, a Lei nº 12.846/2013 e, no setor público, o Decreto nº 9.203/2017 converteram o instituto em política de integridade (ZENKNER; CASTRO, 2020). Mota (2020) sistematiza dez pilares do compliance público e destaca que o treinamento e a comunicação são condição para que as regras de integridade sejam internalizadas, e não apenas formalmente adotadas. Na mesma direção, a OCDE recomenda que a integridade pública seja promovida pela capacitação contínua dos agentes, e não somente por sanções (OCDE, 2017).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segundo eixo, Bayley (2001) situa a prestação de contas como condição do policiamento democrático. No Brasil, Lemgruber, Musumeci e Cano (2003) evidenciaram os limites de ouvidorias e corregedorias, e Pedrosa Júnior, Monteiro e Nascimento (2023) mostraram que o controle externo exercido pelo Ministério Público enfrenta obstáculos institucionais e corporativos. Esses estudos convergem para a constatação de que o controle reativo, embora necessário, é insuficiente. A teoria da justiça procedimental acrescenta que a legitimidade da polícia depende da forma como os policiais tratam os cidadãos (TYLER, 2006), o que desloca a atenção para as competências de conduta construídas na formação.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Cumpre precisar o que se entende por desvio de conduta policial. A literatura brasileira afasta a ideia de que se trate de falhas individuais e esporádicas. Barros (2008) sustenta que a corrupção policial está longe de ser atribuível apenas à falta de idoneidade deste ou daquele agente, devendo ser enfrentada como fenômeno institucional e objeto de políticas públicas. Pinheiro (2013), por sua vez, associa as práticas corruptas e violentas a dilemas na própria construção do monopólio legítimo da força. Particularmente relevante para este estudo é a constatação de Oliveira (2010), a partir de discursos de oficiais da Polícia Militar da Bahia, de que a organização policial privilegia mecanismos formais de controle, como normas e procedimentos, que se mostram insuficientes para regular a conduta. Rodrigues (2022), por fim, demonstra que os significados atribuídos à corrupção são construídos por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moralidades situacionais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já presentes entre candidatos à carreira policial, o que evidencia que a formação é um momento decisivo para a construção, ou a corrosão, da integridade. Sob essa perspectiva, o desvio de conduta é compreendido como fenômeno que envolve a cultura organizacional, e não apenas a vontade individual, o que reforça a pertinência de respostas educativas e preventivas.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No terceiro eixo, a educação policial é tomada como mecanismo de controle positivo. A Matriz Curricular Nacional da Secretaria Nacional de Segurança Pública organiza a formação em eixos articuladores, entre os quais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Ética, Cidadania, Direitos Humanos e Segurança Pública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(BRASIL, 2014). A questão, contudo, não é apenas a presença desses conteúdos no currículo, mas a sua capacidade de alterar condutas. Silva (2021), ao analisar o currículo de formação da Polícia Militar da Bahia, identificou ausências relevantes em temas sensíveis à atuação policial, o que indica a distância entre as diretrizes nacionais e a formação de fato ministrada. É a partir daí que se indaga em que medida a educação policial opera como pilar do compliance na prevenção de desvios de conduta.</w:t>
      </w:r>
    </w:p>
    <w:bookmarkEnd w:id="23"/>
    <w:bookmarkStart w:id="24" w:name="metodologia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5 METODOLOGIA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Trata-se de pesquisa de abordagem qualitativa, com apoio quantitativo descritivo, que combina análise jurídico-normativa e estudo de caso na Polícia Militar do Estado de Goiás. A escolha do caso justifica-se pela existência de um Programa de Compliance Público já estruturado na corporação, o que permite confrontar a política de integridade formalmente instituída com a formação efetivamente ofertada. A delimitação a uma única corporação torna a pesquisa exequível em 24 meses.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Quanto aos objetivos, a pesquisa é exploratório-descritiva, nos termos de Gil (2008), pois busca descrever e compreender um fenômeno ainda pouco investigado. Adota-se o estudo de caso único, estratégia indicada por Yin (2015) para examinar um fenômeno contemporâneo em seu contexto real, quando os limites entre fenômeno e contexto não estão claramente definidos, como ocorre entre a política de integridade e a formação policial. No plano jurídico, segue-se a classificação de Gustin, Dias e Nicácio (2020), combinando uma vertente jurídico-diagnóstica, voltada a verificar a efetividade das normas de integridade e de formação, e uma vertente jurídico-propositiva, que fundamenta a elaboração da trilha formativa. A utilização de múltiplas fontes, normativas, documentais, estatísticas e de percepção, permite a triangulação dos dados, recomendada por Yin (2015) para conferir validade aos achados do estudo de caso.</w:t>
      </w:r>
    </w:p>
    <w:p>
      <w:pPr>
        <w:pStyle w:val="Legenda"/>
        <w:spacing w:line="240" w:lineRule="auto" w:before="120" w:after="80"/>
        <w:ind/>
        <w:jc w:val="center"/>
      </w:pPr>
      <w:r>
        <w:rPr>
          <w:rFonts w:ascii="Times New Roman" w:hAnsi="Times New Roman" w:eastAsia="Times New Roman" w:cs="Times New Roman"/>
          <w:b/>
          <w:sz w:val="20"/>
        </w:rPr>
        <w:t xml:space="preserve">Quadro 1 – Relação entre objetivos, fontes, instrumentos, análise e período</w:t>
      </w:r>
    </w:p>
    <w:tbl>
      <w:tblPr>
        <w:tblLayout w:type="fixed"/>
        <w:tblLook w:firstRow="1" w:lastRow="0" w:firstColumn="0" w:lastColumn="0" w:noHBand="0" w:noVBand="0" w:val="002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072" w:type="dxa"/>
        <w:tblLayout w:type="fixed"/>
      </w:tblPr>
      <w:tblGrid>
        <w:gridCol w:w="1644"/>
        <w:gridCol w:w="2608"/>
        <w:gridCol w:w="1757"/>
        <w:gridCol w:w="1814"/>
        <w:gridCol w:w="1247"/>
      </w:tblGrid>
      <w:tr>
        <w:trPr>
          <w:tblHeader w:val="true"/>
          <w:cantSplit/>
          <w:tblHeader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Objetivo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Fontes e participantes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Instrumento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Análise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a) Deveres de integridade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Leis nº 13.675/2018 e 14.751/2023; Decreto estadual nº 9.406/2019; Lei estadual nº 19.969/2018; portarias do Programa de Compliance da PMGO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Pesquisa normativa e documental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Análise jurídico-normativa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Meses 1 a 6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b) Conteúdos formativos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Planos de curso e ementas dos cursos de formação de praças e oficiais e das capacitações continuadas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Pesquisa documental e pedidos via Lei de Acesso à Informação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Análise de conteúdo orientada pelos pilares do compliance (BARDIN, 2016)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Meses 4 a 10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c) Tipologias de desvio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Dados agregados e anonimizados da corregedoria sobre procedimentos disciplinares (2019-2025)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Pedidos via Lei de Acesso à Informação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Estatística descritiva e cruzamento com os conteúdos formativos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Meses 6 a 12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d) Percepções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Cerca de 100 policiais (questionário) e 12 entrevistados: 4 instrutores, 4 integrantes da corregedoria e do escritório de compliance e 4 comandantes de unidade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Questionário on-line e entrevistas semiestruturadas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Estatística descritiva e análise de conteúdo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Meses 10 a 18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e) Trilha formativa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Resultados das etapas anteriores</w:t>
            </w:r>
          </w:p>
        </w:tc>
        <w:tc>
          <w:tcPr>
            <w:tcW w:type="dxa" w:w="175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Síntese e validação com especialistas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Síntese propositiva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Meses 18 a 24</w:t>
            </w:r>
          </w:p>
        </w:tc>
      </w:tr>
    </w:tbl>
    <w:p>
      <w:pPr>
        <w:pStyle w:val="Fonte"/>
        <w:spacing w:line="240" w:lineRule="auto" w:before="40" w:after="240"/>
        <w:ind/>
        <w:jc w:val="left"/>
      </w:pPr>
      <w:r>
        <w:rPr>
          <w:rFonts w:ascii="Times New Roman" w:hAnsi="Times New Roman" w:eastAsia="Times New Roman" w:cs="Times New Roman"/>
          <w:b w:val="0"/>
          <w:sz w:val="20"/>
        </w:rPr>
        <w:t xml:space="preserve">Fonte: elaborado pelo autor.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O recorte temporal de 2019 a 2025 coincide com a vigência do programa estadual de compliance, o que permite observar se sua implantação repercutiu na formação. Eventual indisponibilidade dos dados disciplinares não inviabiliza o estudo, pois as etapas normativa, documental e de percepções independem deles.</w:t>
      </w:r>
    </w:p>
    <w:p>
      <w:pPr>
        <w:pStyle w:val="BodyText"/>
        <w:spacing w:line="360" w:lineRule="auto" w:before="0" w:after="120"/>
        <w:ind w:firstLine="709"/>
        <w:jc w:val="bot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Considerações éticas.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 projeto será submetido ao Comitê de Ética em Pesquisa, nos termos da Resolução CNS nº 510/2016, com Termo de Consentimento Livre e Esclarecido e anonimato dos participantes. Os dados disciplinares serão solicitados apenas de forma agregada, sem identificação de pessoas. Será solicitada a anuência institucional da corporação, e o vínculo profissional do pesquisador com a segurança pública será tratado com reflexividade.</w:t>
      </w:r>
    </w:p>
    <w:bookmarkEnd w:id="24"/>
    <w:bookmarkStart w:id="25" w:name="resultados-esperados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6 RESULTADOS ESPERADOS</w:t>
      </w:r>
    </w:p>
    <w:p>
      <w:pPr>
        <w:pStyle w:val="FirstParagraph"/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Espera-se responder em que medida a educação policial opera como pilar do compliance na prevenção de desvios de conduta e identificar a distância entre a política de integridade formalmente instituída e a formação oferecida na prática. Para o Direito e para a área de segurança pública, a contribuição será uma análise da efetividade de normas recentes de integridade e de formação policial, além de um quadro analítico que articula compliance e controle positivo da atividade policial. Para a corporação, o principal produto será uma trilha formativa de integridade, construída a partir das tipologias de desvio registradas pela corregedoria e alinhada aos pilares do compliance, a ser apresentada ao escritório de compliance e ao setor de ensino. Para a sociedade, espera-se contribuir para uma polícia mais legítima e confiável, em que a prevenção complemente a punição. Estão previstos, ainda, ao menos um artigo científico e a apresentação dos resultados em eventos da área.</w:t>
      </w:r>
    </w:p>
    <w:bookmarkEnd w:id="25"/>
    <w:bookmarkStart w:id="26" w:name="cronograma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7 CRONOGRAMA</w:t>
      </w:r>
    </w:p>
    <w:p>
      <w:pPr>
        <w:pStyle w:val="Legenda"/>
        <w:spacing w:line="240" w:lineRule="auto" w:before="120" w:after="80"/>
        <w:ind/>
        <w:jc w:val="center"/>
      </w:pPr>
      <w:r>
        <w:rPr>
          <w:rFonts w:ascii="Times New Roman" w:hAnsi="Times New Roman" w:eastAsia="Times New Roman" w:cs="Times New Roman"/>
          <w:b/>
          <w:sz w:val="20"/>
        </w:rPr>
        <w:t xml:space="preserve">Quadro 2 – Cronograma de execução da pesquisa</w:t>
      </w:r>
    </w:p>
    <w:tbl>
      <w:tblPr>
        <w:tblLayout w:type="fixed"/>
        <w:tblLook w:firstRow="1" w:lastRow="0" w:firstColumn="0" w:lastColumn="0" w:noHBand="0" w:noVBand="0" w:val="002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072" w:type="dxa"/>
        <w:tblLayout w:type="fixed"/>
      </w:tblPr>
      <w:tblGrid>
        <w:gridCol w:w="1701"/>
        <w:gridCol w:w="7371"/>
      </w:tblGrid>
      <w:tr>
        <w:trPr>
          <w:tblHeader w:val="true"/>
          <w:cantSplit/>
          <w:tblHeader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Período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BFBFBF"/>
          </w:tcPr>
          <w:p>
            <w:pPr>
              <w:pStyle w:val="Compact"/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Atividades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Semestre 1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Disciplinas; revisão de literatura; análise normativa; submissão ao Comitê de Ética; pedidos via Lei de Acesso à Informação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Semestre 2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Disciplinas; análise dos conteúdos formativos e dos dados da corregedoria; elaboração do questionário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Semestre 3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FFFFFF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Aplicação do questionário e entrevistas; exame de qualificação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Semestre 4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  <w:shd w:val="clear" w:color="auto" w:fill="EDEDED"/>
          </w:tcPr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Análise integrada; elaboração e validação da trilha formativa; redação final e defesa</w:t>
            </w:r>
          </w:p>
        </w:tc>
      </w:tr>
    </w:tbl>
    <w:p>
      <w:pPr>
        <w:pStyle w:val="Fonte"/>
        <w:spacing w:line="240" w:lineRule="auto" w:before="40" w:after="240"/>
        <w:ind/>
        <w:jc w:val="left"/>
      </w:pPr>
      <w:r>
        <w:rPr>
          <w:rFonts w:ascii="Times New Roman" w:hAnsi="Times New Roman" w:eastAsia="Times New Roman" w:cs="Times New Roman"/>
          <w:b w:val="0"/>
          <w:sz w:val="20"/>
        </w:rPr>
        <w:t xml:space="preserve">Fonte: elaborado pelo autor.</w:t>
      </w:r>
    </w:p>
    <w:bookmarkEnd w:id="26"/>
    <w:bookmarkStart w:id="27" w:name="referências"/>
    <w:p>
      <w:pPr>
        <w:pStyle w:val="Heading2"/>
        <w:spacing w:line="360" w:lineRule="auto" w:before="240" w:after="120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REFERÊNCIAS</w:t>
      </w:r>
    </w:p>
    <w:p>
      <w:pPr>
        <w:pStyle w:val="FirstParagraph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ARAÚJO, E. M.; OLIVEIRA, R. R. S.; SAMPAIO, A. A. S. Qualidade metodológica das pesquisas documentais sobre controle disciplinar interno da Polícia Militar: revisão sistemática da literatura.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Revista Brasileira de Segurança Pública</w:t>
      </w:r>
      <w:r>
        <w:rPr>
          <w:rFonts w:ascii="Times New Roman" w:hAnsi="Times New Roman" w:eastAsia="Times New Roman" w:cs="Times New Roman"/>
          <w:sz w:val="24"/>
        </w:rPr>
        <w:t xml:space="preserve">, São Paulo, v. 19, n. 1, p. 342-357, fev./mar. 2025.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BARDIN, L.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Análise de conteúdo</w:t>
      </w:r>
      <w:r>
        <w:rPr>
          <w:rFonts w:ascii="Times New Roman" w:hAnsi="Times New Roman" w:eastAsia="Times New Roman" w:cs="Times New Roman"/>
          <w:sz w:val="24"/>
        </w:rPr>
        <w:t xml:space="preserve">. São Paulo: Edições 70, 2016.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BARROS, M. Polícia e corrupção: elementos para a construção de políticas públicas.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Revista Brasileira de Segurança Pública</w:t>
      </w:r>
      <w:r>
        <w:rPr>
          <w:rFonts w:ascii="Times New Roman" w:hAnsi="Times New Roman" w:eastAsia="Times New Roman" w:cs="Times New Roman"/>
          <w:sz w:val="24"/>
        </w:rPr>
        <w:t xml:space="preserve">, São Paulo, ano 2, ed. 3, jul./ago. 2008.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BAYLEY, D. H.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Padrões de policiamento</w:t>
      </w:r>
      <w:r>
        <w:rPr>
          <w:rFonts w:ascii="Times New Roman" w:hAnsi="Times New Roman" w:eastAsia="Times New Roman" w:cs="Times New Roman"/>
          <w:sz w:val="24"/>
        </w:rPr>
        <w:t xml:space="preserve">: uma análise internacional comparativa. São Paulo: Edusp, 2001.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[Constituição (1988)].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Constituição da República Federativa do Brasil de 1988</w:t>
      </w:r>
      <w:r>
        <w:rPr>
          <w:rFonts w:ascii="Times New Roman" w:hAnsi="Times New Roman" w:eastAsia="Times New Roman" w:cs="Times New Roman"/>
          <w:sz w:val="24"/>
        </w:rPr>
        <w:t xml:space="preserve">. Brasília, DF: Presidência da República, 1988.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Decreto nº 9.203, de 22 de novembro de 2017. Dispõe sobre a política de governança da administração pública federal direta, autárquica e fundacional.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da União</w:t>
      </w:r>
      <w:r>
        <w:rPr>
          <w:rFonts w:ascii="Times New Roman" w:hAnsi="Times New Roman" w:eastAsia="Times New Roman" w:cs="Times New Roman"/>
          <w:sz w:val="24"/>
        </w:rPr>
        <w:t xml:space="preserve">, Brasília, 23 nov. 2017.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Lei nº 12.846, de 1º de agosto de 2013. Dispõe sobre a responsabilização administrativa e civil de pessoas jurídicas pela prática de atos contra a administração pública.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da União</w:t>
      </w:r>
      <w:r>
        <w:rPr>
          <w:rFonts w:ascii="Times New Roman" w:hAnsi="Times New Roman" w:eastAsia="Times New Roman" w:cs="Times New Roman"/>
          <w:sz w:val="24"/>
        </w:rPr>
        <w:t xml:space="preserve">, Brasília, 2 ago. 2013.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Lei nº 13.675, de 11 de junho de 2018. Disciplina a organização e o funcionamento dos órgãos responsáveis pela segurança pública e institui o Sistema Único de Segurança Pública.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da União</w:t>
      </w:r>
      <w:r>
        <w:rPr>
          <w:rFonts w:ascii="Times New Roman" w:hAnsi="Times New Roman" w:eastAsia="Times New Roman" w:cs="Times New Roman"/>
          <w:sz w:val="24"/>
        </w:rPr>
        <w:t xml:space="preserve">, Brasília, 12 jun. 2018.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Lei nº 14.751, de 12 de dezembro de 2023. Institui a Lei Orgânica Nacional das Polícias Militares e dos Corpos de Bombeiros Militares.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da União</w:t>
      </w:r>
      <w:r>
        <w:rPr>
          <w:rFonts w:ascii="Times New Roman" w:hAnsi="Times New Roman" w:eastAsia="Times New Roman" w:cs="Times New Roman"/>
          <w:sz w:val="24"/>
        </w:rPr>
        <w:t xml:space="preserve">, Brasília, 13 dez. 2023.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BRASIL. Ministério da Justiça. Secretaria Nacional de Segurança Pública.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Matriz curricular nacional para ações formativas dos profissionais da área de segurança pública</w:t>
      </w:r>
      <w:r>
        <w:rPr>
          <w:rFonts w:ascii="Times New Roman" w:hAnsi="Times New Roman" w:eastAsia="Times New Roman" w:cs="Times New Roman"/>
          <w:sz w:val="24"/>
        </w:rPr>
        <w:t xml:space="preserve">. Brasília: SENASP, 2014.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GIL, A. C.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Métodos e técnicas de pesquisa social</w:t>
      </w:r>
      <w:r>
        <w:rPr>
          <w:rFonts w:ascii="Times New Roman" w:hAnsi="Times New Roman" w:eastAsia="Times New Roman" w:cs="Times New Roman"/>
          <w:sz w:val="24"/>
        </w:rPr>
        <w:t xml:space="preserve">. 6. ed. São Paulo: Atlas, 2008.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GOIÁS. Decreto nº 9.406, de 18 de fevereiro de 2019. Institui o Programa de Compliance Público no Poder Executivo do Estado de Goiás.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do Estado de Goiás</w:t>
      </w:r>
      <w:r>
        <w:rPr>
          <w:rFonts w:ascii="Times New Roman" w:hAnsi="Times New Roman" w:eastAsia="Times New Roman" w:cs="Times New Roman"/>
          <w:sz w:val="24"/>
        </w:rPr>
        <w:t xml:space="preserve">, Goiânia, 19 fev. 2019.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GOIÁS. Lei nº 19.969, de 11 de janeiro de 2018. Institui o Código de Ética e Disciplina dos Militares do Estado de Goiás.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Diário Oficial do Estado de Goiás</w:t>
      </w:r>
      <w:r>
        <w:rPr>
          <w:rFonts w:ascii="Times New Roman" w:hAnsi="Times New Roman" w:eastAsia="Times New Roman" w:cs="Times New Roman"/>
          <w:sz w:val="24"/>
        </w:rPr>
        <w:t xml:space="preserve">, Goiânia, 17 jan. 2018.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GUSTIN, M. B. S.; DIAS, M. T. F.; NICÁCIO, C. 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(Re)pensando a pesquisa jurídica</w:t>
      </w:r>
      <w:r>
        <w:rPr>
          <w:rFonts w:ascii="Times New Roman" w:hAnsi="Times New Roman" w:eastAsia="Times New Roman" w:cs="Times New Roman"/>
          <w:sz w:val="24"/>
        </w:rPr>
        <w:t xml:space="preserve">: teoria e prática. 5. ed. rev., ampl. e atual. São Paulo: Almedina Brasil, 2020.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LEMGRUBER, J.; MUSUMECI, L.; CANO, 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Quem vigia os vigias?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Um estudo sobre controle externo da polícia no Brasil. Rio de Janeiro: Record, 2003.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MENDES, F. S.; CARVALHO, V. M.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Compliance</w:t>
      </w:r>
      <w:r>
        <w:rPr>
          <w:rFonts w:ascii="Times New Roman" w:hAnsi="Times New Roman" w:eastAsia="Times New Roman" w:cs="Times New Roman"/>
          <w:sz w:val="24"/>
        </w:rPr>
        <w:t xml:space="preserve">: concorrência e combate à corrupção. São Paulo: Trevisan Editora, 2017.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MOTA, M. Q.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O compliance como instrumento de políticas públicas de integridade e de combate à corrupção na administração direta</w:t>
      </w:r>
      <w:r>
        <w:rPr>
          <w:rFonts w:ascii="Times New Roman" w:hAnsi="Times New Roman" w:eastAsia="Times New Roman" w:cs="Times New Roman"/>
          <w:sz w:val="24"/>
        </w:rPr>
        <w:t xml:space="preserve">. 2020. Dissertação (Mestrado em Direito, Governança e Políticas Públicas) – Universidade Salvador, Salvador, 2020.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OCDE.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Recomendação do Conselho da OCDE sobre integridade pública</w:t>
      </w:r>
      <w:r>
        <w:rPr>
          <w:rFonts w:ascii="Times New Roman" w:hAnsi="Times New Roman" w:eastAsia="Times New Roman" w:cs="Times New Roman"/>
          <w:sz w:val="24"/>
        </w:rPr>
        <w:t xml:space="preserve">. Paris: OCDE, 2017.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OLIVEIRA, A. Os policiais podem ser controlados?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Sociologias</w:t>
      </w:r>
      <w:r>
        <w:rPr>
          <w:rFonts w:ascii="Times New Roman" w:hAnsi="Times New Roman" w:eastAsia="Times New Roman" w:cs="Times New Roman"/>
          <w:sz w:val="24"/>
        </w:rPr>
        <w:t xml:space="preserve">, Porto Alegre, v. 12, n. 23, p. 142-174, 2010.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PEDROSA JÚNIOR, J. L. C.; MONTEIRO, L. M.; NASCIMENTO, E. O. Accountability e controle externo da atividade policial: uma análise das diretrizes do CNMP no enfrentamento à letalidade policial.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REDES: Revista Eletrônica Direito e Sociedade</w:t>
      </w:r>
      <w:r>
        <w:rPr>
          <w:rFonts w:ascii="Times New Roman" w:hAnsi="Times New Roman" w:eastAsia="Times New Roman" w:cs="Times New Roman"/>
          <w:sz w:val="24"/>
        </w:rPr>
        <w:t xml:space="preserve">, Canoas, v. 11, n. 2, 2023. DOI: 10.18316/REDES.v11i2.9556.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PINHEIRO, A. S. A polícia corrupta e violenta: os dilemas civilizatórios nas práticas policiais.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Sociedade e Estado</w:t>
      </w:r>
      <w:r>
        <w:rPr>
          <w:rFonts w:ascii="Times New Roman" w:hAnsi="Times New Roman" w:eastAsia="Times New Roman" w:cs="Times New Roman"/>
          <w:sz w:val="24"/>
        </w:rPr>
        <w:t xml:space="preserve">, Brasília, v. 28, n. 2, maio/ago. 2013.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RODRIGUES, E. O.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E o fuzil, tu vende pra quem?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: os diferentes significados da corrupção entre candidatos à carreira de policial militar no Rio de Janeiro.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Revista de Antropologia</w:t>
      </w:r>
      <w:r>
        <w:rPr>
          <w:rFonts w:ascii="Times New Roman" w:hAnsi="Times New Roman" w:eastAsia="Times New Roman" w:cs="Times New Roman"/>
          <w:sz w:val="24"/>
        </w:rPr>
        <w:t xml:space="preserve">, São Paulo, v. 65, n. 3, e195921, 2022. DOI: 10.11606/1678-9857.ra.2022.195921.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SILVA, R. 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Currículo de formação da Polícia Militar da Bahia e racismo institucional</w:t>
      </w:r>
      <w:r>
        <w:rPr>
          <w:rFonts w:ascii="Times New Roman" w:hAnsi="Times New Roman" w:eastAsia="Times New Roman" w:cs="Times New Roman"/>
          <w:sz w:val="24"/>
        </w:rPr>
        <w:t xml:space="preserve">: um estudo sobre as presenças e ausências da discussão étnico-racial. 2021. Dissertação (Mestrado em Ensino e Relações Étnico-Raciais) – Universidade Federal do Sul da Bahia, Porto Seguro, 2021.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TYLER, T. 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Why people obey the law</w:t>
      </w:r>
      <w:r>
        <w:rPr>
          <w:rFonts w:ascii="Times New Roman" w:hAnsi="Times New Roman" w:eastAsia="Times New Roman" w:cs="Times New Roman"/>
          <w:sz w:val="24"/>
        </w:rPr>
        <w:t xml:space="preserve">. Princeton: Princeton University Press, 2006.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YIN, R. K.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Estudo de caso</w:t>
      </w:r>
      <w:r>
        <w:rPr>
          <w:rFonts w:ascii="Times New Roman" w:hAnsi="Times New Roman" w:eastAsia="Times New Roman" w:cs="Times New Roman"/>
          <w:sz w:val="24"/>
        </w:rPr>
        <w:t xml:space="preserve">: planejamento e métodos. 5. ed. Porto Alegre: Bookman, 2015.</w:t>
      </w:r>
    </w:p>
    <w:p>
      <w:pPr>
        <w:pStyle w:val="BodyText"/>
        <w:spacing w:line="240" w:lineRule="auto" w:before="0" w:after="240"/>
        <w:jc w:val="left"/>
      </w:pPr>
      <w:r>
        <w:rPr>
          <w:rFonts w:ascii="Times New Roman" w:hAnsi="Times New Roman" w:eastAsia="Times New Roman" w:cs="Times New Roman"/>
          <w:sz w:val="24"/>
        </w:rPr>
        <w:t xml:space="preserve">ZENKNER, M.; CASTRO, R. P. A. (coord.).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Compliance no setor público</w:t>
      </w:r>
      <w:r>
        <w:rPr>
          <w:rFonts w:ascii="Times New Roman" w:hAnsi="Times New Roman" w:eastAsia="Times New Roman" w:cs="Times New Roman"/>
          <w:sz w:val="24"/>
        </w:rPr>
        <w:t xml:space="preserve">. Belo Horizonte: Fórum, 2020.</w:t>
      </w:r>
    </w:p>
    <w:bookmarkEnd w:id="27"/>
    <w:bookmarkEnd w:id="28"/>
    <w:sectPr>
      <w:headerReference w:type="default" r:id="rId9"/>
      <w:pgSz w:h="16838" w:w="11906"/>
      <w:pgMar w:top="1701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</w:rPr>
  </w:style>
  <w:style w:type="paragraph" w:customStyle="1" w:styleId="Fonte">
    <w:name w:val="Fonte"/>
    <w:basedOn w:val="BodyText"/>
    <w:qFormat/>
    <w:rPr>
      <w:rFonts w:ascii="Times New Roman" w:hAnsi="Times New Roman"/>
    </w:rPr>
  </w:style>
  <w:style w:type="paragraph" w:customStyle="1" w:styleId="Legenda">
    <w:name w:val="Legenda"/>
    <w:basedOn w:val="BodyText"/>
    <w:qFormat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</w:rPr>
  </w:style>
  <w:style w:type="character" w:customStyle="1" w:styleId="DecValTok">
    <w:name w:val="DecValTok"/>
    <w:basedOn w:val="VerbatimChar"/>
    <w:rPr>
      <w:rFonts w:ascii="Times New Roman" w:hAnsi="Times New Roman"/>
    </w:rPr>
  </w:style>
  <w:style w:type="character" w:customStyle="1" w:styleId="BaseNTok">
    <w:name w:val="BaseNTok"/>
    <w:basedOn w:val="VerbatimChar"/>
    <w:rPr>
      <w:rFonts w:ascii="Times New Roman" w:hAnsi="Times New Roman"/>
    </w:rPr>
  </w:style>
  <w:style w:type="character" w:customStyle="1" w:styleId="FloatTok">
    <w:name w:val="FloatTok"/>
    <w:basedOn w:val="VerbatimChar"/>
    <w:rPr>
      <w:rFonts w:ascii="Times New Roman" w:hAnsi="Times New Roman"/>
    </w:rPr>
  </w:style>
  <w:style w:type="character" w:customStyle="1" w:styleId="ConstantTok">
    <w:name w:val="ConstantTok"/>
    <w:basedOn w:val="VerbatimChar"/>
    <w:rPr>
      <w:rFonts w:ascii="Times New Roman" w:hAnsi="Times New Roman"/>
    </w:rPr>
  </w:style>
  <w:style w:type="character" w:customStyle="1" w:styleId="CharTok">
    <w:name w:val="CharTok"/>
    <w:basedOn w:val="VerbatimChar"/>
    <w:rPr>
      <w:rFonts w:ascii="Times New Roman" w:hAnsi="Times New Roman"/>
    </w:rPr>
  </w:style>
  <w:style w:type="character" w:customStyle="1" w:styleId="SpecialCharTok">
    <w:name w:val="SpecialCharTok"/>
    <w:basedOn w:val="VerbatimChar"/>
    <w:rPr>
      <w:rFonts w:ascii="Times New Roman" w:hAnsi="Times New Roman"/>
    </w:rPr>
  </w:style>
  <w:style w:type="character" w:customStyle="1" w:styleId="StringTok">
    <w:name w:val="StringTok"/>
    <w:basedOn w:val="VerbatimChar"/>
    <w:rPr>
      <w:rFonts w:ascii="Times New Roman" w:hAnsi="Times New Roman"/>
    </w:rPr>
  </w:style>
  <w:style w:type="character" w:customStyle="1" w:styleId="VerbatimStringTok">
    <w:name w:val="VerbatimStringTok"/>
    <w:basedOn w:val="VerbatimChar"/>
    <w:rPr>
      <w:rFonts w:ascii="Times New Roman" w:hAnsi="Times New Roman"/>
    </w:rPr>
  </w:style>
  <w:style w:type="character" w:customStyle="1" w:styleId="SpecialStringTok">
    <w:name w:val="SpecialStringTok"/>
    <w:basedOn w:val="VerbatimChar"/>
    <w:rPr>
      <w:rFonts w:ascii="Times New Roman" w:hAnsi="Times New Roman"/>
    </w:rPr>
  </w:style>
  <w:style w:type="character" w:customStyle="1" w:styleId="ImportTok">
    <w:name w:val="ImportTok"/>
    <w:basedOn w:val="VerbatimChar"/>
    <w:rPr>
      <w:rFonts w:ascii="Times New Roman" w:hAnsi="Times New Roman"/>
      <w:b/>
    </w:rPr>
  </w:style>
  <w:style w:type="character" w:customStyle="1" w:styleId="CommentTok">
    <w:name w:val="CommentTok"/>
    <w:basedOn w:val="VerbatimChar"/>
    <w:rPr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</w:rPr>
  </w:style>
  <w:style w:type="character" w:customStyle="1" w:styleId="FunctionTok">
    <w:name w:val="FunctionTok"/>
    <w:basedOn w:val="VerbatimChar"/>
    <w:rPr>
      <w:rFonts w:ascii="Times New Roman" w:hAnsi="Times New Roman"/>
    </w:rPr>
  </w:style>
  <w:style w:type="character" w:customStyle="1" w:styleId="VariableTok">
    <w:name w:val="VariableTok"/>
    <w:basedOn w:val="VerbatimChar"/>
    <w:rPr>
      <w:rFonts w:ascii="Times New Roman" w:hAnsi="Times New Roman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</w:rPr>
  </w:style>
  <w:style w:type="character" w:customStyle="1" w:styleId="BuiltInTok">
    <w:name w:val="BuiltInTok"/>
    <w:basedOn w:val="VerbatimChar"/>
    <w:rPr>
      <w:rFonts w:ascii="Times New Roman" w:hAnsi="Times New Roman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</w:rPr>
  </w:style>
  <w:style w:type="character" w:customStyle="1" w:styleId="AttributeTok">
    <w:name w:val="AttributeTok"/>
    <w:basedOn w:val="VerbatimChar"/>
    <w:rPr>
      <w:rFonts w:ascii="Times New Roman" w:hAnsi="Times New Roman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rFonts w:ascii="Times New Roman" w:hAnsi="Times New Roman"/>
      <w:b/>
    </w:rPr>
  </w:style>
  <w:style w:type="character" w:customStyle="1" w:styleId="ErrorTok">
    <w:name w:val="ErrorTok"/>
    <w:basedOn w:val="VerbatimChar"/>
    <w:rPr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2026-10-28T14:13:58Z</dcterms:created>
  <dcterms:modified xsi:type="dcterms:W3CDTF">2026-10-28T14:13:58Z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