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no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integradas ao Programa Pacto pela Vida. Passada mais de uma década de sua implantação, porém, permanece em aberto uma questão de fundo: quem controla essa polícia de proximidade, e com que efeitos sobre a sua legitimidade?</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sobretudo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Esse descompasso torna-se ainda mais grave quando se observa que a Bahia figura, nos últimos anos, entre os estados com maior número de mortes decorrentes de intervenção policial (FÓRUM BRASILEIRO DE SEGURANÇA PÚBLICA, 2025). A distância entre a retórica comunitária e os mecanismos efetivos de controle é, portanto, o ponto de partida desta proposta.</w:t>
      </w:r>
    </w:p>
    <w:p>
      <w:pPr>
        <w:pStyle w:val="BodyText"/>
        <w:spacing w:line="360" w:lineRule="auto" w:before="0" w:after="120"/>
        <w:ind w:firstLine="709"/>
        <w:jc w:val="both"/>
      </w:pPr>
      <w:r>
        <w:rPr>
          <w:rFonts w:ascii="Times New Roman" w:hAnsi="Times New Roman" w:eastAsia="Times New Roman" w:cs="Times New Roman"/>
          <w:sz w:val="24"/>
        </w:rPr>
        <w:t xml:space="preserve">Nessa direção,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Assim, ficou por investigar como esses controles funcionam no território e como são percebidos pela população policiada,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Diante disso,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como os mecanismos de controle interno, externo e social que incidem sobre o policiamento comunitário no Extremo Sul da Bahia se articulam, e em que medida contribuem para a legitimidade democrática da polícia perante as comunidades atendidas?</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 a polícia entrega resultados? — para o problema da legitimação do poder — a polícia é reconhecida como justa e passível de controle? Para tanto, articula a teoria da legitimidade procedimental à literatura brasileira sobre controle da atividade policial. Além disso, sua originalidade reside em tratar o controle como sistema, examinando em conjunto corregedoria, Ministério Público, ouvidoria, conselhos comunitários e imprensa, e em fazê-lo numa região interiorana, marcada pelo turismo e pela presença de povos indígenas, comunidades quilombolas e periferias urbanas,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qualidade e de confiança que complementem os de produtividade,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Por essas razões, a proposta insere-se na Linha 1 do PPGES porque toma o Estado como conjunto heterogêneo de instituições e se debruça sobre as dinâmicas do exercício do poder, os processos de legitimação, a relação entre Estado e sociedade civil e as instâncias de controle e fiscalização de programas de governo, eixos que compõem a própria descrição da linha.</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comunidades atendidas.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 Corregedoria da Polícia Militar, Ministério Público, Ouvidoria, conselhos comunitários de segurança e imprensa local —,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Pacto pela Vida orientam a atuação das unidades comunitárias e quais dimensões da atividade policial deixam de ser mensuradas;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qualidade e de legitimidade complementar aos indicadores de produtividade.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controles existentes operam de maneira fragmentada e predominantemente reativa e punitiva, o que produz conformidade com metas, mas pouca legitimidade. Mecanismos articulados entre si e abertos à participação comunitária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três eixos complementares: o Estado e a legitimação do poder; o controle democrático da polícia; e o policiamento comunitário diante da gestão por resultados.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Beetham (1991) acrescenta que a legitimidade não se esgota na legalidade: ela depende também de crenças compartilhadas e do consentimento expresso dos governados.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Complementarmente, Lui e Sales (2024) mapeiam a agenda do policiamento baseado em evidências. Quanto ao policiamento comunitário, Muniz e Paes-Machado (2010) problematizam as experiências baianas, e Ferreira, Rossoni e Oliveira (2022) demonstram que esse modelo, incluindo as Bases Comunitárias da Bahia, é atravessado por quatro lógicas institucionais — militar, profissional, gerencial e comunitária —, cuja tensão ajuda a explicar por que as metas gerenciais frequentemente se sobrepõem à proximidade. A participação social, ademais,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Cabe destacar,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Por fim,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dois ou três municípios do Extremo Sul da Bahia — a exemplo de Porto Seguro, Eunápolis e Teixeira de Freitas. A seleção definitiva considerará a existência de unidades de policiamento comunitário em funcionamento. O quadro a seguir relaciona cada objetivo específico às fontes, aos instrumentos e à forma de análise.</w:t>
      </w:r>
    </w:p>
    <w:tbl>
      <w:tblPr>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rFonts w:ascii="Times New Roman" w:hAnsi="Times New Roman" w:eastAsia="Times New Roman" w:cs="Times New Roman"/>
                <w:sz w:val="20"/>
              </w:rPr>
              <w:t xml:space="preserve">Objetivo</w:t>
            </w:r>
          </w:p>
        </w:tc>
        <w:tc>
          <w:tcPr/>
          <w:p>
            <w:pPr>
              <w:pStyle w:val="Compact"/>
              <w:spacing w:line="240" w:lineRule="auto"/>
              <w:jc w:val="left"/>
            </w:pPr>
            <w:r>
              <w:rPr>
                <w:rFonts w:ascii="Times New Roman" w:hAnsi="Times New Roman" w:eastAsia="Times New Roman" w:cs="Times New Roman"/>
                <w:sz w:val="20"/>
              </w:rPr>
              <w:t xml:space="preserve">Participantes e fontes</w:t>
            </w:r>
          </w:p>
        </w:tc>
        <w:tc>
          <w:tcPr/>
          <w:p>
            <w:pPr>
              <w:pStyle w:val="Compact"/>
              <w:spacing w:line="240" w:lineRule="auto"/>
              <w:jc w:val="left"/>
            </w:pPr>
            <w:r>
              <w:rPr>
                <w:rFonts w:ascii="Times New Roman" w:hAnsi="Times New Roman" w:eastAsia="Times New Roman" w:cs="Times New Roman"/>
                <w:sz w:val="20"/>
              </w:rPr>
              <w:t xml:space="preserve">Instrumento</w:t>
            </w:r>
          </w:p>
        </w:tc>
        <w:tc>
          <w:tcPr/>
          <w:p>
            <w:pPr>
              <w:pStyle w:val="Compact"/>
              <w:spacing w:line="240" w:lineRule="auto"/>
              <w:jc w:val="left"/>
            </w:pPr>
            <w:r>
              <w:rPr>
                <w:rFonts w:ascii="Times New Roman" w:hAnsi="Times New Roman" w:eastAsia="Times New Roman" w:cs="Times New Roman"/>
                <w:sz w:val="20"/>
              </w:rPr>
              <w:t xml:space="preserve">Análise</w:t>
            </w:r>
          </w:p>
        </w:tc>
      </w:tr>
      <w:tr>
        <w:tc>
          <w:tcPr/>
          <w:p>
            <w:pPr>
              <w:pStyle w:val="Compact"/>
              <w:spacing w:line="240" w:lineRule="auto"/>
              <w:jc w:val="left"/>
            </w:pPr>
            <w:r>
              <w:rPr>
                <w:rFonts w:ascii="Times New Roman" w:hAnsi="Times New Roman" w:eastAsia="Times New Roman" w:cs="Times New Roman"/>
                <w:sz w:val="20"/>
              </w:rPr>
              <w:t xml:space="preserve">a) Mapear as instâncias de controle</w:t>
            </w:r>
          </w:p>
        </w:tc>
        <w:tc>
          <w:tcPr/>
          <w:p>
            <w:pPr>
              <w:pStyle w:val="Compact"/>
              <w:spacing w:line="240" w:lineRule="auto"/>
              <w:jc w:val="left"/>
            </w:pPr>
            <w:r>
              <w:rPr>
                <w:rFonts w:ascii="Times New Roman" w:hAnsi="Times New Roman" w:eastAsia="Times New Roman" w:cs="Times New Roman"/>
                <w:sz w:val="20"/>
              </w:rPr>
              <w:t xml:space="preserve">Normas, relatórios da Corregedoria, do MP-BA e da Ouvidoria; atas de conselhos comunitários</w:t>
            </w:r>
          </w:p>
        </w:tc>
        <w:tc>
          <w:tcPr/>
          <w:p>
            <w:pPr>
              <w:pStyle w:val="Compact"/>
              <w:spacing w:line="240" w:lineRule="auto"/>
              <w:jc w:val="left"/>
            </w:pPr>
            <w:r>
              <w:rPr>
                <w:rFonts w:ascii="Times New Roman" w:hAnsi="Times New Roman" w:eastAsia="Times New Roman" w:cs="Times New Roman"/>
                <w:sz w:val="20"/>
              </w:rPr>
              <w:t xml:space="preserve">Pesquisa documental e pedidos via Lei de Acesso à Informação</w:t>
            </w:r>
          </w:p>
        </w:tc>
        <w:tc>
          <w:tcPr/>
          <w:p>
            <w:pPr>
              <w:pStyle w:val="Compact"/>
              <w:spacing w:line="240" w:lineRule="auto"/>
              <w:jc w:val="left"/>
            </w:pPr>
            <w:r>
              <w:rPr>
                <w:rFonts w:ascii="Times New Roman" w:hAnsi="Times New Roman" w:eastAsia="Times New Roman" w:cs="Times New Roman"/>
                <w:sz w:val="20"/>
              </w:rPr>
              <w:t xml:space="preserve">Análise documental e de fluxos institucionais</w:t>
            </w:r>
          </w:p>
        </w:tc>
      </w:tr>
      <w:tr>
        <w:tc>
          <w:tcPr/>
          <w:p>
            <w:pPr>
              <w:pStyle w:val="Compact"/>
              <w:spacing w:line="240" w:lineRule="auto"/>
              <w:jc w:val="left"/>
            </w:pPr>
            <w:r>
              <w:rPr>
                <w:rFonts w:ascii="Times New Roman" w:hAnsi="Times New Roman" w:eastAsia="Times New Roman" w:cs="Times New Roman"/>
                <w:sz w:val="20"/>
              </w:rPr>
              <w:t xml:space="preserve">b) Examinar os indicadores do Pacto pela Vida</w:t>
            </w:r>
          </w:p>
        </w:tc>
        <w:tc>
          <w:tcPr/>
          <w:p>
            <w:pPr>
              <w:pStyle w:val="Compact"/>
              <w:spacing w:line="240" w:lineRule="auto"/>
              <w:jc w:val="left"/>
            </w:pPr>
            <w:r>
              <w:rPr>
                <w:rFonts w:ascii="Times New Roman" w:hAnsi="Times New Roman" w:eastAsia="Times New Roman" w:cs="Times New Roman"/>
                <w:sz w:val="20"/>
              </w:rPr>
              <w:t xml:space="preserve">Bases de dados da SSP-BA e planos de metas</w:t>
            </w:r>
          </w:p>
        </w:tc>
        <w:tc>
          <w:tcPr/>
          <w:p>
            <w:pPr>
              <w:pStyle w:val="Compact"/>
              <w:spacing w:line="240" w:lineRule="auto"/>
              <w:jc w:val="left"/>
            </w:pPr>
            <w:r>
              <w:rPr>
                <w:rFonts w:ascii="Times New Roman" w:hAnsi="Times New Roman" w:eastAsia="Times New Roman" w:cs="Times New Roman"/>
                <w:sz w:val="20"/>
              </w:rPr>
              <w:t xml:space="preserve">Coleta de séries históricas (2015-2026)</w:t>
            </w:r>
          </w:p>
        </w:tc>
        <w:tc>
          <w:tcPr/>
          <w:p>
            <w:pPr>
              <w:pStyle w:val="Compact"/>
              <w:spacing w:line="240" w:lineRule="auto"/>
              <w:jc w:val="left"/>
            </w:pPr>
            <w:r>
              <w:rPr>
                <w:rFonts w:ascii="Times New Roman" w:hAnsi="Times New Roman" w:eastAsia="Times New Roman" w:cs="Times New Roman"/>
                <w:sz w:val="20"/>
              </w:rPr>
              <w:t xml:space="preserve">Estatística descritiva</w:t>
            </w:r>
          </w:p>
        </w:tc>
      </w:tr>
      <w:tr>
        <w:tc>
          <w:tcPr/>
          <w:p>
            <w:pPr>
              <w:pStyle w:val="Compact"/>
              <w:spacing w:line="240" w:lineRule="auto"/>
              <w:jc w:val="left"/>
            </w:pPr>
            <w:r>
              <w:rPr>
                <w:rFonts w:ascii="Times New Roman" w:hAnsi="Times New Roman" w:eastAsia="Times New Roman" w:cs="Times New Roman"/>
                <w:sz w:val="20"/>
              </w:rPr>
              <w:t xml:space="preserve">c) Compreender as percepções dos atores</w:t>
            </w:r>
          </w:p>
        </w:tc>
        <w:tc>
          <w:tcPr/>
          <w:p>
            <w:pPr>
              <w:pStyle w:val="Compact"/>
              <w:spacing w:line="240" w:lineRule="auto"/>
              <w:jc w:val="left"/>
            </w:pPr>
            <w:r>
              <w:rPr>
                <w:rFonts w:ascii="Times New Roman" w:hAnsi="Times New Roman" w:eastAsia="Times New Roman" w:cs="Times New Roman"/>
                <w:sz w:val="20"/>
              </w:rPr>
              <w:t xml:space="preserve">Cerca de 30 participantes: policiais, gestores, promotores de justiça, conselheiros e lideranças comunitárias</w:t>
            </w:r>
          </w:p>
        </w:tc>
        <w:tc>
          <w:tcPr/>
          <w:p>
            <w:pPr>
              <w:pStyle w:val="Compact"/>
              <w:spacing w:line="240" w:lineRule="auto"/>
              <w:jc w:val="left"/>
            </w:pPr>
            <w:r>
              <w:rPr>
                <w:rFonts w:ascii="Times New Roman" w:hAnsi="Times New Roman" w:eastAsia="Times New Roman" w:cs="Times New Roman"/>
                <w:sz w:val="20"/>
              </w:rPr>
              <w:t xml:space="preserve">Entrevistas semiestruturadas</w:t>
            </w:r>
          </w:p>
        </w:tc>
        <w:tc>
          <w:tcPr/>
          <w:p>
            <w:pPr>
              <w:pStyle w:val="Compact"/>
              <w:spacing w:line="240" w:lineRule="auto"/>
              <w:jc w:val="left"/>
            </w:pPr>
            <w:r>
              <w:rPr>
                <w:rFonts w:ascii="Times New Roman" w:hAnsi="Times New Roman" w:eastAsia="Times New Roman" w:cs="Times New Roman"/>
                <w:sz w:val="20"/>
              </w:rPr>
              <w:t xml:space="preserve">Análise de conteúdo (BARDIN, 2016)</w:t>
            </w:r>
          </w:p>
        </w:tc>
      </w:tr>
      <w:tr>
        <w:tc>
          <w:tcPr/>
          <w:p>
            <w:pPr>
              <w:pStyle w:val="Compact"/>
              <w:spacing w:line="240" w:lineRule="auto"/>
              <w:jc w:val="left"/>
            </w:pPr>
            <w:r>
              <w:rPr>
                <w:rFonts w:ascii="Times New Roman" w:hAnsi="Times New Roman" w:eastAsia="Times New Roman" w:cs="Times New Roman"/>
                <w:sz w:val="20"/>
              </w:rPr>
              <w:t xml:space="preserve">d) Verificar variações por raça e território</w:t>
            </w:r>
          </w:p>
        </w:tc>
        <w:tc>
          <w:tcPr/>
          <w:p>
            <w:pPr>
              <w:pStyle w:val="Compact"/>
              <w:spacing w:line="240" w:lineRule="auto"/>
              <w:jc w:val="left"/>
            </w:pPr>
            <w:r>
              <w:rPr>
                <w:rFonts w:ascii="Times New Roman" w:hAnsi="Times New Roman" w:eastAsia="Times New Roman" w:cs="Times New Roman"/>
                <w:sz w:val="20"/>
              </w:rPr>
              <w:t xml:space="preserve">Moradores de bairros periféricos, aldeias indígenas e comunidades quilombolas</w:t>
            </w:r>
          </w:p>
        </w:tc>
        <w:tc>
          <w:tcPr/>
          <w:p>
            <w:pPr>
              <w:pStyle w:val="Compact"/>
              <w:spacing w:line="240" w:lineRule="auto"/>
              <w:jc w:val="left"/>
            </w:pPr>
            <w:r>
              <w:rPr>
                <w:rFonts w:ascii="Times New Roman" w:hAnsi="Times New Roman" w:eastAsia="Times New Roman" w:cs="Times New Roman"/>
                <w:sz w:val="20"/>
              </w:rPr>
              <w:t xml:space="preserve">Grupos focais (de dois a quatro) e questionário breve sobre confiança</w:t>
            </w:r>
          </w:p>
        </w:tc>
        <w:tc>
          <w:tcPr/>
          <w:p>
            <w:pPr>
              <w:pStyle w:val="Compact"/>
              <w:spacing w:line="240" w:lineRule="auto"/>
              <w:jc w:val="left"/>
            </w:pPr>
            <w:r>
              <w:rPr>
                <w:rFonts w:ascii="Times New Roman" w:hAnsi="Times New Roman" w:eastAsia="Times New Roman" w:cs="Times New Roman"/>
                <w:sz w:val="20"/>
              </w:rPr>
              <w:t xml:space="preserve">Análise comparativa entre grupos</w:t>
            </w:r>
          </w:p>
        </w:tc>
      </w:tr>
      <w:tr>
        <w:tc>
          <w:tcPr/>
          <w:p>
            <w:pPr>
              <w:pStyle w:val="Compact"/>
              <w:spacing w:line="240" w:lineRule="auto"/>
              <w:jc w:val="left"/>
            </w:pPr>
            <w:r>
              <w:rPr>
                <w:rFonts w:ascii="Times New Roman" w:hAnsi="Times New Roman" w:eastAsia="Times New Roman" w:cs="Times New Roman"/>
                <w:sz w:val="20"/>
              </w:rPr>
              <w:t xml:space="preserve">e) Propor a matriz de indicadores</w:t>
            </w:r>
          </w:p>
        </w:tc>
        <w:tc>
          <w:tcPr/>
          <w:p>
            <w:pPr>
              <w:pStyle w:val="Compact"/>
              <w:spacing w:line="240" w:lineRule="auto"/>
              <w:jc w:val="left"/>
            </w:pPr>
            <w:r>
              <w:rPr>
                <w:rFonts w:ascii="Times New Roman" w:hAnsi="Times New Roman" w:eastAsia="Times New Roman" w:cs="Times New Roman"/>
                <w:sz w:val="20"/>
              </w:rPr>
              <w:t xml:space="preserve">Participantes das etapas anteriores</w:t>
            </w:r>
          </w:p>
        </w:tc>
        <w:tc>
          <w:tcPr/>
          <w:p>
            <w:pPr>
              <w:pStyle w:val="Compact"/>
              <w:spacing w:line="240" w:lineRule="auto"/>
              <w:jc w:val="left"/>
            </w:pPr>
            <w:r>
              <w:rPr>
                <w:rFonts w:ascii="Times New Roman" w:hAnsi="Times New Roman" w:eastAsia="Times New Roman" w:cs="Times New Roman"/>
                <w:sz w:val="20"/>
              </w:rPr>
              <w:t xml:space="preserve">Oficina devolutiva</w:t>
            </w:r>
          </w:p>
        </w:tc>
        <w:tc>
          <w:tcPr/>
          <w:p>
            <w:pPr>
              <w:pStyle w:val="Compact"/>
              <w:spacing w:line="240" w:lineRule="auto"/>
              <w:jc w:val="left"/>
            </w:pPr>
            <w:r>
              <w:rPr>
                <w:rFonts w:ascii="Times New Roman" w:hAnsi="Times New Roman" w:eastAsia="Times New Roman" w:cs="Times New Roman"/>
                <w:sz w:val="20"/>
              </w:rPr>
              <w:t xml:space="preserve">Síntese participativa</w:t>
            </w:r>
          </w:p>
        </w:tc>
      </w:tr>
    </w:tbl>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Será igualmente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qualidade e confiança,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tbl>
      <w:tblPr>
        <w:tblW w:type="pct" w:w="5000"/>
        <w:tblLook w:firstRow="1" w:lastRow="0" w:firstColumn="0" w:lastColumn="0" w:noHBand="0" w:noVBand="0" w:val="0020"/>
        <w:jc w:val="start"/>
      </w:tblPr>
      <w:tblGrid>
        <w:gridCol w:w="3960"/>
        <w:gridCol w:w="3960"/>
      </w:tblGrid>
      <w:tr>
        <w:trPr>
          <w:tblHeader w:val="true"/>
        </w:trPr>
        <w:tc>
          <w:tcPr/>
          <w:p>
            <w:pPr>
              <w:pStyle w:val="Compact"/>
              <w:spacing w:line="240" w:lineRule="auto"/>
              <w:jc w:val="left"/>
            </w:pPr>
            <w:r>
              <w:rPr>
                <w:rFonts w:ascii="Times New Roman" w:hAnsi="Times New Roman" w:eastAsia="Times New Roman" w:cs="Times New Roman"/>
                <w:sz w:val="20"/>
              </w:rPr>
              <w:t xml:space="preserve">Período</w:t>
            </w:r>
          </w:p>
        </w:tc>
        <w:tc>
          <w:tcPr/>
          <w:p>
            <w:pPr>
              <w:pStyle w:val="Compact"/>
              <w:spacing w:line="240" w:lineRule="auto"/>
              <w:jc w:val="left"/>
            </w:pPr>
            <w:r>
              <w:rPr>
                <w:rFonts w:ascii="Times New Roman" w:hAnsi="Times New Roman" w:eastAsia="Times New Roman" w:cs="Times New Roman"/>
                <w:sz w:val="20"/>
              </w:rPr>
              <w:t xml:space="preserve">Atividades</w:t>
            </w:r>
          </w:p>
        </w:tc>
      </w:tr>
      <w:tr>
        <w:tc>
          <w:tcPr/>
          <w:p>
            <w:pPr>
              <w:pStyle w:val="Compact"/>
              <w:spacing w:line="240" w:lineRule="auto"/>
              <w:jc w:val="left"/>
            </w:pPr>
            <w:r>
              <w:rPr>
                <w:rFonts w:ascii="Times New Roman" w:hAnsi="Times New Roman" w:eastAsia="Times New Roman" w:cs="Times New Roman"/>
                <w:sz w:val="20"/>
              </w:rPr>
              <w:t xml:space="preserve">Ano 1 (2027)</w:t>
            </w:r>
          </w:p>
        </w:tc>
        <w:tc>
          <w:tcPr/>
          <w:p>
            <w:pPr>
              <w:pStyle w:val="Compact"/>
              <w:spacing w:line="240" w:lineRule="auto"/>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c>
          <w:tcPr/>
          <w:p>
            <w:pPr>
              <w:pStyle w:val="Compact"/>
              <w:spacing w:line="240" w:lineRule="auto"/>
              <w:jc w:val="left"/>
            </w:pPr>
            <w:r>
              <w:rPr>
                <w:rFonts w:ascii="Times New Roman" w:hAnsi="Times New Roman" w:eastAsia="Times New Roman" w:cs="Times New Roman"/>
                <w:sz w:val="20"/>
              </w:rPr>
              <w:t xml:space="preserve">Ano 2 (2028)</w:t>
            </w:r>
          </w:p>
        </w:tc>
        <w:tc>
          <w:tcPr/>
          <w:p>
            <w:pPr>
              <w:pStyle w:val="Compact"/>
              <w:spacing w:line="240" w:lineRule="auto"/>
              <w:jc w:val="left"/>
            </w:pPr>
            <w:r>
              <w:rPr>
                <w:rFonts w:ascii="Times New Roman" w:hAnsi="Times New Roman" w:eastAsia="Times New Roman" w:cs="Times New Roman"/>
                <w:sz w:val="20"/>
              </w:rPr>
              <w:t xml:space="preserve">Entrevistas e grupos focais; análise das séries de indicadores; exame de qualificação</w:t>
            </w:r>
          </w:p>
        </w:tc>
      </w:tr>
      <w:tr>
        <w:tc>
          <w:tcPr/>
          <w:p>
            <w:pPr>
              <w:pStyle w:val="Compact"/>
              <w:spacing w:line="240" w:lineRule="auto"/>
              <w:jc w:val="left"/>
            </w:pPr>
            <w:r>
              <w:rPr>
                <w:rFonts w:ascii="Times New Roman" w:hAnsi="Times New Roman" w:eastAsia="Times New Roman" w:cs="Times New Roman"/>
                <w:sz w:val="20"/>
              </w:rPr>
              <w:t xml:space="preserve">Ano 3 (2029)</w:t>
            </w:r>
          </w:p>
        </w:tc>
        <w:tc>
          <w:tcPr/>
          <w:p>
            <w:pPr>
              <w:pStyle w:val="Compact"/>
              <w:spacing w:line="240" w:lineRule="auto"/>
              <w:jc w:val="left"/>
            </w:pPr>
            <w:r>
              <w:rPr>
                <w:rFonts w:ascii="Times New Roman" w:hAnsi="Times New Roman" w:eastAsia="Times New Roman" w:cs="Times New Roman"/>
                <w:sz w:val="20"/>
              </w:rPr>
              <w:t xml:space="preserve">Análise dos dados; publicação de artigos; oficina devolutiva</w:t>
            </w:r>
          </w:p>
        </w:tc>
      </w:tr>
      <w:tr>
        <w:tc>
          <w:tcPr/>
          <w:p>
            <w:pPr>
              <w:pStyle w:val="Compact"/>
              <w:spacing w:line="240" w:lineRule="auto"/>
              <w:jc w:val="left"/>
            </w:pPr>
            <w:r>
              <w:rPr>
                <w:rFonts w:ascii="Times New Roman" w:hAnsi="Times New Roman" w:eastAsia="Times New Roman" w:cs="Times New Roman"/>
                <w:sz w:val="20"/>
              </w:rPr>
              <w:t xml:space="preserve">Ano 4 (2030)</w:t>
            </w:r>
          </w:p>
        </w:tc>
        <w:tc>
          <w:tcPr/>
          <w:p>
            <w:pPr>
              <w:pStyle w:val="Compact"/>
              <w:spacing w:line="240" w:lineRule="auto"/>
              <w:jc w:val="left"/>
            </w:pPr>
            <w:r>
              <w:rPr>
                <w:rFonts w:ascii="Times New Roman" w:hAnsi="Times New Roman" w:eastAsia="Times New Roman" w:cs="Times New Roman"/>
                <w:sz w:val="20"/>
              </w:rPr>
              <w:t xml:space="preserve">Elaboração da matriz de indicadores; redação final; defesa</w:t>
            </w:r>
          </w:p>
        </w:tc>
      </w:tr>
    </w:tbl>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2025</w:t>
      </w:r>
      <w:r>
        <w:rPr>
          <w:rFonts w:ascii="Times New Roman" w:hAnsi="Times New Roman" w:eastAsia="Times New Roman" w:cs="Times New Roman"/>
          <w:sz w:val="24"/>
        </w:rPr>
        <w:t xml:space="preserve">. São Paulo: FBSP, 2025.</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à busca bibliográfica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2026-10-19T13:23:11Z</dcterms:created>
  <dcterms:modified xsi:type="dcterms:W3CDTF">2026-10-19T13:23:11Z</dcterms:modified>
</cp:coreProperties>
</file>

<file path=docProps/custom.xml><?xml version="1.0" encoding="utf-8"?>
<Properties xmlns="http://schemas.openxmlformats.org/officeDocument/2006/custom-properties" xmlns:vt="http://schemas.openxmlformats.org/officeDocument/2006/docPropsVTypes"/>
</file>