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nteprojeto-de-pesquisa-doutorado"/>
    <w:p>
      <w:pPr>
        <w:pStyle w:val="Heading1"/>
        <w:spacing w:line="360" w:lineRule="auto" w:before="240" w:after="120"/>
        <w:jc w:val="center"/>
      </w:pPr>
      <w:r>
        <w:rPr>
          <w:rFonts w:ascii="Times New Roman" w:hAnsi="Times New Roman" w:eastAsia="Times New Roman" w:cs="Times New Roman"/>
          <w:b/>
          <w:i w:val="0"/>
          <w:sz w:val="24"/>
        </w:rPr>
        <w:t xml:space="preserve">ANTEPROJETO DE PESQUISA – DOUTORADO</w:t>
      </w:r>
    </w:p>
    <w:p>
      <w:pPr>
        <w:pStyle w:val="FirstParagraph"/>
        <w:spacing w:line="360" w:lineRule="auto" w:before="0" w:after="120"/>
        <w:ind w:firstLine="709"/>
        <w:jc w:val="both"/>
      </w:pPr>
      <w:r>
        <w:rPr>
          <w:bCs/>
          <w:rFonts w:ascii="Times New Roman" w:hAnsi="Times New Roman" w:eastAsia="Times New Roman" w:cs="Times New Roman"/>
          <w:b/>
          <w:sz w:val="24"/>
        </w:rPr>
        <w:t xml:space="preserve">Título: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Quem controla a polícia de proximidade? Controle democrático, accountability e legitimidade do policiamento comunitário em territórios negros e quilombolas do Extremo Sul da Bahia</w:t>
      </w:r>
    </w:p>
    <w:p>
      <w:pPr>
        <w:pStyle w:val="BodyText"/>
        <w:spacing w:line="360" w:lineRule="auto" w:before="0" w:after="120"/>
        <w:ind w:firstLine="709"/>
        <w:jc w:val="both"/>
      </w:pPr>
      <w:r>
        <w:rPr>
          <w:bCs/>
          <w:rFonts w:ascii="Times New Roman" w:hAnsi="Times New Roman" w:eastAsia="Times New Roman" w:cs="Times New Roman"/>
          <w:b/>
          <w:sz w:val="24"/>
        </w:rPr>
        <w:t xml:space="preserve">Linha de pesquisa: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Linha 1 – Estado, instituições e governança</w:t>
      </w:r>
    </w:p>
    <w:p>
      <w:pPr>
        <w:pStyle w:val="BodyText"/>
        <w:spacing w:line="360" w:lineRule="auto" w:before="0" w:after="120"/>
        <w:ind w:firstLine="709"/>
        <w:jc w:val="both"/>
      </w:pPr>
      <w:r>
        <w:rPr>
          <w:bCs/>
          <w:rFonts w:ascii="Times New Roman" w:hAnsi="Times New Roman" w:eastAsia="Times New Roman" w:cs="Times New Roman"/>
          <w:b/>
          <w:sz w:val="24"/>
        </w:rPr>
        <w:t xml:space="preserve">Opções de orientação, por ordem de preferência: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1ª Profa. Maria do Carmo Rebouças da Cruz Ferreira dos Santos; 2ª Profa. Carolina Bessa Ferreira de Oliveira</w:t>
      </w:r>
    </w:p>
    <w:bookmarkStart w:id="20" w:name="introdução-e-justificativa"/>
    <w:p>
      <w:pPr>
        <w:pStyle w:val="Heading2"/>
        <w:spacing w:line="360" w:lineRule="auto" w:before="240" w:after="120"/>
      </w:pPr>
      <w:r>
        <w:rPr>
          <w:rFonts w:ascii="Times New Roman" w:hAnsi="Times New Roman" w:eastAsia="Times New Roman" w:cs="Times New Roman"/>
          <w:b/>
          <w:i w:val="0"/>
          <w:sz w:val="24"/>
        </w:rPr>
        <w:t xml:space="preserve">1 INTRODUÇÃO E JUSTIFICATIVA</w:t>
      </w:r>
    </w:p>
    <w:p>
      <w:pPr>
        <w:pStyle w:val="FirstParagraph"/>
        <w:spacing w:line="360" w:lineRule="auto" w:before="0" w:after="120"/>
        <w:ind w:firstLine="709"/>
        <w:jc w:val="both"/>
      </w:pPr>
      <w:r>
        <w:rPr>
          <w:rFonts w:ascii="Times New Roman" w:hAnsi="Times New Roman" w:eastAsia="Times New Roman" w:cs="Times New Roman"/>
          <w:sz w:val="24"/>
        </w:rPr>
        <w:t xml:space="preserve">O policiamento comunitário chegou ao Brasil com uma promessa ambiciosa: aproximar a polícia da população e transformar a segurança pública numa tarefa compartilhada, voltada à prevenção e à redução do medo do crime. Na Bahia, essa promessa ganhou forma institucional nas Bases Comunitárias de Segurança, criadas no âmbito do Programa Pacto pela Vida, hoje reformulado como Bahia pela Paz. Em Porto Seguro, a Base Comunitária do Baianão/Frei Calixto foi implantada numa área periférica do município. Passada mais de uma década, porém, permanece em aberto uma questão de fundo: quem controla essa polícia de proximidade, e com que efeitos sobre a sua legitimidade junto às populações negras e quilombolas que ela deveria proteger?</w:t>
      </w:r>
    </w:p>
    <w:p>
      <w:pPr>
        <w:pStyle w:val="BodyText"/>
        <w:spacing w:line="360" w:lineRule="auto" w:before="0" w:after="120"/>
        <w:ind w:firstLine="709"/>
        <w:jc w:val="both"/>
      </w:pPr>
      <w:r>
        <w:rPr>
          <w:rFonts w:ascii="Times New Roman" w:hAnsi="Times New Roman" w:eastAsia="Times New Roman" w:cs="Times New Roman"/>
          <w:sz w:val="24"/>
        </w:rPr>
        <w:t xml:space="preserve">É nesse cenário que os dados mais recentes tornam essa pergunta urgente. De acordo com o Anuário Brasileiro de Segurança Pública, Eunápolis e Porto Seguro figuram entre as quatro cidades mais violentas do país, com taxas de 85,1 e 71,2 mortes violentas intencionais por 100 mil habitantes, respectivamente, e ocupam as duas primeiras posições do país em mortes decorrentes de intervenção policial entre os municípios com mais de 100 mil habitantes, com 32,3 por 100 mil em Porto Seguro e 29,7 em Eunápolis (FÓRUM BRASILEIRO DE SEGURANÇA PÚBLICA, 2026). Em Porto Seguro, a ação policial respondeu por 45% das 130 mortes violentas registradas em 2025. No plano estadual, a Bahia somou 1.570 mortes por intervenção policial no mesmo ano, o maior número absoluto do país. Cumpre ressaltar que esse padrão não é racialmente neutro: estudos sobre abordagem e letalidade policial demonstram que a pertinência racial opera como critério de suspeição e de uso da força, inclusive em Salvador (RAMOS; MUSUMECI, 2005; ANUNCIAÇÃO; TRAD; FERREIRA, 2020; SINHORETTO; BATITUCCI, 2023).</w:t>
      </w:r>
    </w:p>
    <w:p>
      <w:pPr>
        <w:pStyle w:val="BodyText"/>
        <w:spacing w:line="360" w:lineRule="auto" w:before="0" w:after="120"/>
        <w:ind w:firstLine="709"/>
        <w:jc w:val="both"/>
      </w:pPr>
      <w:r>
        <w:rPr>
          <w:rFonts w:ascii="Times New Roman" w:hAnsi="Times New Roman" w:eastAsia="Times New Roman" w:cs="Times New Roman"/>
          <w:sz w:val="24"/>
        </w:rPr>
        <w:t xml:space="preserve">Ocorre que, na prática, a gestão desses programas apoia-se predominantemente em metas quantitativas, como a redução dos Crimes Violentos Letais e Intencionais (CVLI) e dos Crimes Violentos contra o Patrimônio (CVP), em registros de produtividade e em premiações por desempenho. Em outras palavras, tais instrumentos dizem muito sobre o que a polícia faz, mas pouco sobre como ela trata as pessoas com quem interage, e nada sobre quem, racialmente, suporta os custos dessa atuação. A aparência técnica e neutra desses controles pode, por conseguinte, encobrir a reprodução do racismo institucional, à semelhança do que Souza, Ferreira e Santos (2021) identificam no campo jurídico como dispositivo da branquitude.</w:t>
      </w:r>
    </w:p>
    <w:p>
      <w:pPr>
        <w:pStyle w:val="BodyText"/>
        <w:spacing w:line="360" w:lineRule="auto" w:before="0" w:after="120"/>
        <w:ind w:firstLine="709"/>
        <w:jc w:val="both"/>
      </w:pPr>
      <w:r>
        <w:rPr>
          <w:rFonts w:ascii="Times New Roman" w:hAnsi="Times New Roman" w:eastAsia="Times New Roman" w:cs="Times New Roman"/>
          <w:sz w:val="24"/>
        </w:rPr>
        <w:t xml:space="preserve">Nesse contexto, estudo anterior, desenvolvido em mestrado profissional sobre indicadores de desempenho na Polícia Militar da Bahia, mostrou que os instrumentos de controle perdem eficácia quando atuam de forma isolada e desarticulada, e que faltam mecanismos de natureza preventiva e ética, e não apenas punitiva. Aquele trabalho, contudo, restringiu-se à análise bibliográfica e documental em escala estadual e não incorporou a dimensão racial. Restou por investigar, assim, como esses controles funcionam no território e como são percebidos pelas populações negras, quilombolas e indígenas policiadas, lacuna que a presente tese pretende enfrentar.</w:t>
      </w:r>
    </w:p>
    <w:p>
      <w:pPr>
        <w:pStyle w:val="BodyText"/>
        <w:spacing w:line="360" w:lineRule="auto" w:before="0" w:after="120"/>
        <w:ind w:firstLine="709"/>
        <w:jc w:val="both"/>
      </w:pPr>
      <w:r>
        <w:rPr>
          <w:rFonts w:ascii="Times New Roman" w:hAnsi="Times New Roman" w:eastAsia="Times New Roman" w:cs="Times New Roman"/>
          <w:sz w:val="24"/>
        </w:rPr>
        <w:t xml:space="preserve">Fixada essa premissa, formula-se a seguinte questão de pesquisa: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em que medida o controle democrático e a accountability do policiamento comunitário conferem legitimidade à polícia junto às populações negras e quilombolas do Extremo Sul da Bahia?</w:t>
      </w:r>
    </w:p>
    <w:p>
      <w:pPr>
        <w:pStyle w:val="BodyText"/>
        <w:spacing w:line="360" w:lineRule="auto" w:before="0" w:after="120"/>
        <w:ind w:firstLine="709"/>
        <w:jc w:val="both"/>
      </w:pPr>
      <w:r>
        <w:rPr>
          <w:rFonts w:ascii="Times New Roman" w:hAnsi="Times New Roman" w:eastAsia="Times New Roman" w:cs="Times New Roman"/>
          <w:sz w:val="24"/>
        </w:rPr>
        <w:t xml:space="preserve">Do ponto de vista científico, responder a essa pergunta exige deslocar o debate da eficácia gerencial, isto é, se a polícia entrega resultados, para o problema da legitimação do poder, ou seja, se o controle democrático e a accountability tornam a polícia reconhecida como justa pelos grupos que mais sofrem sua ação. A literatura brasileira tem tratado separadamente o controle da atividade policial e a legitimidade policial, e raramente incorpora a dimensão racial a ambos. Para tanto, o estudo articula a teoria da legitimidade procedimental, a literatura sobre controle da atividade policial e os estudos críticos sobre raça e Estado. Além disso, sua originalidade reside em tratar o controle como sistema, examinando em conjunto corregedoria, Ministério Público, ouvidoria, conselhos comunitários e imprensa, e em fazê-lo numa região interiorana marcada pelo turismo, por periferias urbanas negras e pela presença de povos indígenas e comunidades quilombolas, contexto pouco contemplado por uma produção concentrada nas capitais.</w:t>
      </w:r>
    </w:p>
    <w:p>
      <w:pPr>
        <w:pStyle w:val="BodyText"/>
        <w:spacing w:line="360" w:lineRule="auto" w:before="0" w:after="120"/>
        <w:ind w:firstLine="709"/>
        <w:jc w:val="both"/>
      </w:pPr>
      <w:r>
        <w:rPr>
          <w:rFonts w:ascii="Times New Roman" w:hAnsi="Times New Roman" w:eastAsia="Times New Roman" w:cs="Times New Roman"/>
          <w:sz w:val="24"/>
        </w:rPr>
        <w:t xml:space="preserve">Na dimensão social, a segurança pública constitui questão prioritária para a qualidade de vida no Sul da Bahia, e a confiança das populações negras e quilombolas na polícia é condição para que o policiamento comunitário cumpra a sua promessa de prevenção e de coprodução da segurança. Compreender em que medida os controles existentes produzem, ou corroem, essa confiança permite qualificar a própria política pública. Daí a expectativa de que a pesquisa ofereça subsídios para a construção de indicadores de legitimidade com recorte étnico-racial, em diálogo com a agenda do Objetivo de Desenvolvimento Sustentável 18 (Igualdade Étnico-Racial), bem como para o fortalecimento do controle social em âmbito local.</w:t>
      </w:r>
    </w:p>
    <w:p>
      <w:pPr>
        <w:pStyle w:val="BodyText"/>
        <w:spacing w:line="360" w:lineRule="auto" w:before="0" w:after="120"/>
        <w:ind w:firstLine="709"/>
        <w:jc w:val="both"/>
      </w:pPr>
      <w:r>
        <w:rPr>
          <w:rFonts w:ascii="Times New Roman" w:hAnsi="Times New Roman" w:eastAsia="Times New Roman" w:cs="Times New Roman"/>
          <w:sz w:val="24"/>
        </w:rPr>
        <w:t xml:space="preserve">Trata-se, portanto, de proposta que se insere na Linha 1 do PPGES, na medida em que toma o Estado como conjunto heterogêneo de instituições e se debruça sobre as dinâmicas do exercício do poder, os processos de legitimação, a relação entre Estado e sociedade civil, o pluralismo jurídico e as instâncias de controle de programas de governo. Dialoga, ainda, com a produção das orientadoras indicadas sobre racismo, sistema de justiça e segurança pública (SANTOS, 2025) e sobre a letalidade e o encarceramento da juventude negra (OLIVEIRA; TORRES; TORRES, 2018).</w:t>
      </w:r>
    </w:p>
    <w:bookmarkEnd w:id="20"/>
    <w:bookmarkStart w:id="21" w:name="objetivos-e-hipótese"/>
    <w:p>
      <w:pPr>
        <w:pStyle w:val="Heading2"/>
        <w:spacing w:line="360" w:lineRule="auto" w:before="240" w:after="120"/>
      </w:pPr>
      <w:r>
        <w:rPr>
          <w:rFonts w:ascii="Times New Roman" w:hAnsi="Times New Roman" w:eastAsia="Times New Roman" w:cs="Times New Roman"/>
          <w:b/>
          <w:i w:val="0"/>
          <w:sz w:val="24"/>
        </w:rPr>
        <w:t xml:space="preserve">2 OBJETIVOS E HIPÓTESE</w:t>
      </w:r>
    </w:p>
    <w:p>
      <w:pPr>
        <w:pStyle w:val="FirstParagraph"/>
        <w:spacing w:line="360" w:lineRule="auto" w:before="0" w:after="120"/>
        <w:ind w:firstLine="709"/>
        <w:jc w:val="both"/>
      </w:pPr>
      <w:r>
        <w:rPr>
          <w:bCs/>
          <w:rFonts w:ascii="Times New Roman" w:hAnsi="Times New Roman" w:eastAsia="Times New Roman" w:cs="Times New Roman"/>
          <w:b/>
          <w:sz w:val="24"/>
        </w:rPr>
        <w:t xml:space="preserve">Objetivo geral: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analisar em que medida o controle democrático e a accountability do policiamento comunitário, exercidos por instâncias internas, externas e sociais, conferem legitimidade à polícia junto às populações negras e quilombolas do Extremo Sul da Bahia.</w:t>
      </w:r>
    </w:p>
    <w:p>
      <w:pPr>
        <w:pStyle w:val="BodyText"/>
        <w:spacing w:line="360" w:lineRule="auto" w:before="0" w:after="120"/>
        <w:ind w:firstLine="709"/>
        <w:jc w:val="both"/>
      </w:pPr>
      <w:r>
        <w:rPr>
          <w:bCs/>
          <w:rFonts w:ascii="Times New Roman" w:hAnsi="Times New Roman" w:eastAsia="Times New Roman" w:cs="Times New Roman"/>
          <w:b/>
          <w:sz w:val="24"/>
        </w:rPr>
        <w:t xml:space="preserve">Objetivos específicos:</w:t>
      </w:r>
    </w:p>
    <w:p>
      <w:pPr>
        <w:numPr>
          <w:ilvl w:val="0"/>
          <w:numId w:val="1001"/>
        </w:numPr>
        <w:spacing w:line="360" w:lineRule="auto" w:before="0" w:after="120"/>
        <w:ind w:firstLine="709"/>
        <w:jc w:val="both"/>
      </w:pPr>
      <w:r>
        <w:rPr>
          <w:rFonts w:ascii="Times New Roman" w:hAnsi="Times New Roman" w:eastAsia="Times New Roman" w:cs="Times New Roman"/>
          <w:sz w:val="24"/>
        </w:rPr>
        <w:t xml:space="preserve">mapear as instâncias de controle que incidem sobre o policiamento comunitário na região, como a Corregedoria da Polícia Militar, o Ministério Público, a Ouvidoria, os conselhos comunitários de segurança e a imprensa local, identificando suas atribuições, fluxos e capacidades;</w:t>
      </w:r>
    </w:p>
    <w:p>
      <w:pPr>
        <w:numPr>
          <w:ilvl w:val="0"/>
          <w:numId w:val="1001"/>
        </w:numPr>
        <w:spacing w:line="360" w:lineRule="auto" w:before="0" w:after="120"/>
        <w:ind w:firstLine="709"/>
        <w:jc w:val="both"/>
      </w:pPr>
      <w:r>
        <w:rPr>
          <w:rFonts w:ascii="Times New Roman" w:hAnsi="Times New Roman" w:eastAsia="Times New Roman" w:cs="Times New Roman"/>
          <w:sz w:val="24"/>
        </w:rPr>
        <w:t xml:space="preserve">examinar de que modo os indicadores e as metas do programa Bahia pela Paz orientam a atuação das unidades comunitárias e se incorporam, ou silenciam, a dimensão racial da ação policial;</w:t>
      </w:r>
    </w:p>
    <w:p>
      <w:pPr>
        <w:numPr>
          <w:ilvl w:val="0"/>
          <w:numId w:val="1001"/>
        </w:numPr>
        <w:spacing w:line="360" w:lineRule="auto" w:before="0" w:after="120"/>
        <w:ind w:firstLine="709"/>
        <w:jc w:val="both"/>
      </w:pPr>
      <w:r>
        <w:rPr>
          <w:rFonts w:ascii="Times New Roman" w:hAnsi="Times New Roman" w:eastAsia="Times New Roman" w:cs="Times New Roman"/>
          <w:sz w:val="24"/>
        </w:rPr>
        <w:t xml:space="preserve">compreender as percepções de policiais, gestores e moradores acerca da legitimidade da polícia, expressa na justiça procedimental e na confiança, e da possibilidade de controlá-la;</w:t>
      </w:r>
    </w:p>
    <w:p>
      <w:pPr>
        <w:numPr>
          <w:ilvl w:val="0"/>
          <w:numId w:val="1001"/>
        </w:numPr>
        <w:spacing w:line="360" w:lineRule="auto" w:before="0" w:after="120"/>
        <w:ind w:firstLine="709"/>
        <w:jc w:val="both"/>
      </w:pPr>
      <w:r>
        <w:rPr>
          <w:rFonts w:ascii="Times New Roman" w:hAnsi="Times New Roman" w:eastAsia="Times New Roman" w:cs="Times New Roman"/>
          <w:sz w:val="24"/>
        </w:rPr>
        <w:t xml:space="preserve">verificar se essas percepções variam conforme raça, gênero, território e pertencimento a povos e comunidades tradicionais;</w:t>
      </w:r>
    </w:p>
    <w:p>
      <w:pPr>
        <w:numPr>
          <w:ilvl w:val="0"/>
          <w:numId w:val="1001"/>
        </w:numPr>
        <w:spacing w:line="360" w:lineRule="auto" w:before="0" w:after="120"/>
        <w:ind w:firstLine="709"/>
        <w:jc w:val="both"/>
      </w:pPr>
      <w:r>
        <w:rPr>
          <w:rFonts w:ascii="Times New Roman" w:hAnsi="Times New Roman" w:eastAsia="Times New Roman" w:cs="Times New Roman"/>
          <w:sz w:val="24"/>
        </w:rPr>
        <w:t xml:space="preserve">propor, em diálogo com os atores locais, uma matriz de indicadores de legitimidade com recorte étnico-racial, complementar aos indicadores de produtividade e alinhada à agenda do ODS 18.</w:t>
      </w:r>
    </w:p>
    <w:p>
      <w:pPr>
        <w:pStyle w:val="FirstParagraph"/>
        <w:spacing w:line="360" w:lineRule="auto" w:before="0" w:after="120"/>
        <w:ind w:firstLine="709"/>
        <w:jc w:val="both"/>
      </w:pPr>
      <w:r>
        <w:rPr>
          <w:bCs/>
          <w:rFonts w:ascii="Times New Roman" w:hAnsi="Times New Roman" w:eastAsia="Times New Roman" w:cs="Times New Roman"/>
          <w:b/>
          <w:sz w:val="24"/>
        </w:rPr>
        <w:t xml:space="preserve">Hipótese: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 controle democrático e a accountability, tal como hoje operam, conferem pouca legitimidade à polícia junto às populações negras e quilombolas, porque são fragmentados, predominantemente reativos e racialmente neutros apenas na aparência, o que produz conformidade com metas, mas não confiança. Mecanismos articulados, abertos à participação comunitária e sensíveis às especificidades culturais dos territórios tenderiam a ampliar a confiança na polícia e a percepção de justiça procedimental.</w:t>
      </w:r>
    </w:p>
    <w:bookmarkEnd w:id="21"/>
    <w:bookmarkStart w:id="22" w:name="Xb5a9652102d8f3f8c1b007820e588b37874084c"/>
    <w:p>
      <w:pPr>
        <w:pStyle w:val="Heading2"/>
        <w:spacing w:line="360" w:lineRule="auto" w:before="240" w:after="120"/>
      </w:pPr>
      <w:r>
        <w:rPr>
          <w:rFonts w:ascii="Times New Roman" w:hAnsi="Times New Roman" w:eastAsia="Times New Roman" w:cs="Times New Roman"/>
          <w:b/>
          <w:i w:val="0"/>
          <w:sz w:val="24"/>
        </w:rPr>
        <w:t xml:space="preserve">3 FUNDAMENTAÇÃO TEÓRICA E REVISÃO DE LITERATURA</w:t>
      </w:r>
    </w:p>
    <w:p>
      <w:pPr>
        <w:pStyle w:val="FirstParagraph"/>
        <w:spacing w:line="360" w:lineRule="auto" w:before="0" w:after="120"/>
        <w:ind w:firstLine="709"/>
        <w:jc w:val="both"/>
      </w:pPr>
      <w:r>
        <w:rPr>
          <w:rFonts w:ascii="Times New Roman" w:hAnsi="Times New Roman" w:eastAsia="Times New Roman" w:cs="Times New Roman"/>
          <w:sz w:val="24"/>
        </w:rPr>
        <w:t xml:space="preserve">O referencial organiza-se em quatro eixos, que correspondem aos termos da pergunta de pesquisa: o Estado e a legitimação do poder; o controle democrático e a accountability da polícia; o policiamento comunitário diante da gestão por resultados; e as relações entre raça, território e ação policial, eixo que atravessa os demais.</w:t>
      </w:r>
    </w:p>
    <w:p>
      <w:pPr>
        <w:pStyle w:val="BodyText"/>
        <w:spacing w:line="360" w:lineRule="auto" w:before="0" w:after="120"/>
        <w:ind w:firstLine="709"/>
        <w:jc w:val="both"/>
      </w:pPr>
      <w:r>
        <w:rPr>
          <w:rFonts w:ascii="Times New Roman" w:hAnsi="Times New Roman" w:eastAsia="Times New Roman" w:cs="Times New Roman"/>
          <w:sz w:val="24"/>
        </w:rPr>
        <w:t xml:space="preserve">No primeiro eixo, parte-se da definição weberiana do Estado como detentor do monopólio legítimo da força física (WEBER, 2004), o que faz da polícia a expressão mais visível desse poder no cotidiano. Nessa linha de raciocínio, Beetham (1991) acrescenta que a legitimidade não se esgota na legalidade: ela depende também de crenças compartilhadas e do consentimento expresso dos governados. Com efeito, a teoria da justiça procedimental aprofunda esse argumento ao demonstrar que as pessoas cooperam com a polícia e obedecem à lei, sobretudo, quando se sentem tratadas com respeito e imparcialidade, e não apenas quando a percebem como eficaz (SUNSHINE; TYLER, 2003; TYLER, 2006). No Brasil, por sua vez, essa perspectiva foi incorporada ao debate sobre reforma policial por Zanetic et al. (2016) e operacionalizada por Oliveira, Oliveira e Adorno (2019), que validaram um modelo de mensuração da legitimidade policial em São Paulo. A confiança, componente central desse modelo, mostra-se baixa no país, mas sensível ao contexto: Rolim e Hermann (2018) verificaram, em Porto Alegre, níveis inferiores aos observados em cidades menores, o que justifica investigar um contexto interiorano como o do Extremo Sul baiano.</w:t>
      </w:r>
    </w:p>
    <w:p>
      <w:pPr>
        <w:pStyle w:val="BodyText"/>
        <w:spacing w:line="360" w:lineRule="auto" w:before="0" w:after="120"/>
        <w:ind w:firstLine="709"/>
        <w:jc w:val="both"/>
      </w:pPr>
      <w:r>
        <w:rPr>
          <w:rFonts w:ascii="Times New Roman" w:hAnsi="Times New Roman" w:eastAsia="Times New Roman" w:cs="Times New Roman"/>
          <w:sz w:val="24"/>
        </w:rPr>
        <w:t xml:space="preserve">No segundo eixo, Bayley (2001) e Skolnick e Bayley (2002) situam a prestação de contas como condição do policiamento democrático. No caso brasileiro, Lemgruber, Musumeci e Cano (2003) evidenciaram os limites de ouvidorias e corregedorias, enquanto Costa (2004) analisou os padrões de controle externo das polícias. Embora a Constituição de 1988 atribua ao Ministério Público o controle externo da atividade policial (art. 129, VII), sua efetividade segue limitada. Nesse sentido, ao examinar as diretrizes do Conselho Nacional do Ministério Público voltadas à redução da letalidade policial, Pedrosa Júnior, Monteiro e Nascimento (2023) concluíram que o arranjo institucional complexo, os interesses corporativos e a atuação deficiente de parte dos membros do órgão comprometeram sua execução. Já no plano interno, Araújo, Oliveira e Sampaio (2025) revisaram a produção sobre controle disciplinar nas polícias militares e constataram que ela se concentra em dissertações e apresenta fragilidades metodológicas, o que reforça a necessidade de estudos empíricos sobre o tema.</w:t>
      </w:r>
    </w:p>
    <w:p>
      <w:pPr>
        <w:pStyle w:val="BodyText"/>
        <w:spacing w:line="360" w:lineRule="auto" w:before="0" w:after="120"/>
        <w:ind w:firstLine="709"/>
        <w:jc w:val="both"/>
      </w:pPr>
      <w:r>
        <w:rPr>
          <w:rFonts w:ascii="Times New Roman" w:hAnsi="Times New Roman" w:eastAsia="Times New Roman" w:cs="Times New Roman"/>
          <w:sz w:val="24"/>
        </w:rPr>
        <w:t xml:space="preserve">No terceiro eixo, Sapori (2007) discute a adoção da gestão por resultados na segurança pública brasileira, e Santos e Gomes (2021), em revisão sistemática, mostram que não há metodologia única para avaliar o desempenho policial, devendo a mensuração corresponder aos objetivos de cada organização. Em sentido complementar, Lui e Sales (2024) mapeiam a agenda do policiamento baseado em evidências. No que concerne ao policiamento comunitário, Muniz e Paes-Machado (2010) problematizam as experiências baianas, e Ferreira, Rossoni e Oliveira (2022) demonstram que esse modelo, incluindo as Bases Comunitárias da Bahia, é atravessado por quatro lógicas institucionais, a militar, a profissional, a gerencial e a comunitária, cuja tensão ajuda a explicar por que as metas gerenciais frequentemente se sobrepõem à proximidade. Não é menos verdade, contudo, que a participação social encontra limites na própria cultura policial: ao estudar os conselhos comunitários de segurança paulistas, Bueno, Lima e Teixeira (2016) mostram que o cidadão tende a ser tratado mais como demandante do que como sujeito da política.</w:t>
      </w:r>
    </w:p>
    <w:p>
      <w:pPr>
        <w:pStyle w:val="BodyText"/>
        <w:spacing w:line="360" w:lineRule="auto" w:before="0" w:after="120"/>
        <w:ind w:firstLine="709"/>
        <w:jc w:val="both"/>
      </w:pPr>
      <w:r>
        <w:rPr>
          <w:rFonts w:ascii="Times New Roman" w:hAnsi="Times New Roman" w:eastAsia="Times New Roman" w:cs="Times New Roman"/>
          <w:sz w:val="24"/>
        </w:rPr>
        <w:t xml:space="preserve">O quarto eixo confere ao projeto sua lente analítica. Na lição de Almeida (2019), o racismo é estrutural e se reproduz nas instituições mesmo sem intenção explícita, e Bento (2022) descreve o pacto narcísico da branquitude que sustenta essa reprodução nas organizações. No campo penal, Flauzina (2006) interpreta a seletividade do sistema como parte de um projeto genocida dirigido à população negra, leitura que encontra respaldo empírico nos dados sobre homicídio e encarceramento da juventude negra (OLIVEIRA; TORRES; TORRES, 2018), na análise interseccional do encarceramento feminino negro (OLIVEIRA; SANTOS; ROCHA, 2021; AKOTIRENE, 2019) e na desigualdade racial das chances de prisão e de morte em ocorrências policiais (SINHORETTO; BATITUCCI, 2023). Especificamente quanto à Polícia Militar da Bahia, Silva (2021) evidenciou as ausências da discussão étnico-racial no currículo de formação policial, e Santos (2025) examinou o impacto da Convenção Interamericana contra o Racismo sobre o sistema de justiça e segurança pública brasileiros, abrindo caminho para pensar o controle da polícia também como obrigação antirracista do Estado. Por fim, as categorias de amefricanidade (GONZALEZ, 1988) e de quilombismo (NASCIMENTO, 1980) permitem compreender periferias negras e comunidades quilombolas não como alvos do policiamento, mas como sujeitos políticos e portadores de formas próprias de organização e de juridicidade, o que dialoga com o pluralismo jurídico e a interculturalidade presentes na descrição da Linha 1.</w:t>
      </w:r>
    </w:p>
    <w:p>
      <w:pPr>
        <w:pStyle w:val="BodyText"/>
        <w:spacing w:line="360" w:lineRule="auto" w:before="0" w:after="120"/>
        <w:ind w:firstLine="709"/>
        <w:jc w:val="both"/>
      </w:pPr>
      <w:r>
        <w:rPr>
          <w:rFonts w:ascii="Times New Roman" w:hAnsi="Times New Roman" w:eastAsia="Times New Roman" w:cs="Times New Roman"/>
          <w:sz w:val="24"/>
        </w:rPr>
        <w:t xml:space="preserve">Esse referencial orienta diretamente o procedimento metodológico e a análise dos resultados. A teoria da justiça procedimental e o modelo de Oliveira, Oliveira e Adorno (2019) fornecem as dimensões da escala de legitimidade, a saber, justiça procedimental, confiança e dever de obediência. A literatura sobre controle e accountability define as categorias da análise documental, isto é, controle interno, externo e social. Por último, os estudos sobre racismo institucional fornecem as categorias que orientarão a análise de conteúdo das entrevistas e dos grupos focais, como seletividade, suspeição e reconhecimento. É a partir daí que se indaga em que medida o controle democrático e a accountability conferem legitimidade à polícia nesses territórios.</w:t>
      </w:r>
    </w:p>
    <w:bookmarkEnd w:id="22"/>
    <w:bookmarkStart w:id="23" w:name="metodologia"/>
    <w:p>
      <w:pPr>
        <w:pStyle w:val="Heading2"/>
        <w:spacing w:line="360" w:lineRule="auto" w:before="240" w:after="120"/>
      </w:pPr>
      <w:r>
        <w:rPr>
          <w:rFonts w:ascii="Times New Roman" w:hAnsi="Times New Roman" w:eastAsia="Times New Roman" w:cs="Times New Roman"/>
          <w:b/>
          <w:i w:val="0"/>
          <w:sz w:val="24"/>
        </w:rPr>
        <w:t xml:space="preserve">4 METODOLOGIA</w:t>
      </w:r>
    </w:p>
    <w:p>
      <w:pPr>
        <w:pStyle w:val="FirstParagraph"/>
        <w:spacing w:line="360" w:lineRule="auto" w:before="0" w:after="120"/>
        <w:ind w:firstLine="709"/>
        <w:jc w:val="both"/>
      </w:pPr>
      <w:r>
        <w:rPr>
          <w:rFonts w:ascii="Times New Roman" w:hAnsi="Times New Roman" w:eastAsia="Times New Roman" w:cs="Times New Roman"/>
          <w:sz w:val="24"/>
        </w:rPr>
        <w:t xml:space="preserve">Trata-se de pesquisa de abordagem qualitativa, com apoio quantitativo descritivo, delineada como estudo de casos múltiplos em três territórios do Extremo Sul da Bahia, escolhidos por sua relação direta com a pergunta de pesquisa. O caso principal é a área da Base Comunitária de Segurança do Baianão/Frei Calixto, em Porto Seguro, município que registra a maior taxa de mortes por intervenção policial do país entre os de mais de 100 mil habitantes. Eunápolis, segunda colocada nesse indicador e sem base comunitária identificada, funcionará como caso de contraste. O terceiro território é a comunidade quilombola de Helvécia, em Nova Viçosa, certificada pela Fundação Cultural Palmares, que permite examinar a relação entre polícia e comunidades tradicionais. A delimitação a três territórios da mesma região, acessíveis por rodovia a partir de Porto Seguro, torna o trabalho de campo exequível em 24 meses.</w:t>
      </w:r>
    </w:p>
    <w:p>
      <w:pPr>
        <w:pStyle w:val="BodyText"/>
        <w:spacing w:line="360" w:lineRule="auto" w:before="0" w:after="120"/>
        <w:ind w:firstLine="709"/>
        <w:jc w:val="both"/>
      </w:pPr>
      <w:r>
        <w:rPr>
          <w:rFonts w:ascii="Times New Roman" w:hAnsi="Times New Roman" w:eastAsia="Times New Roman" w:cs="Times New Roman"/>
          <w:sz w:val="24"/>
        </w:rPr>
        <w:t xml:space="preserve">Cada termo da pergunta corresponde a um procedimento. O controle democrático e a accountability serão apreendidos pela análise documental das instâncias de controle e pelas entrevistas com seus agentes. A legitimidade será medida por questionário com escala de justiça procedimental, confiança e dever de obediência, adaptada do modelo de mensuração validado por Oliveira, Oliveira e Adorno (2019), e aprofundada em grupos focais. A dimensão racial atravessará todos os instrumentos, por meio da desagregação dos dados por raça/cor e da comparação entre os territórios. O quadro a seguir sintetiza esse desenho.</w:t>
      </w:r>
    </w:p>
    <w:p>
      <w:pPr>
        <w:pStyle w:val="Legenda"/>
        <w:spacing w:line="240" w:lineRule="auto" w:before="120" w:after="80"/>
        <w:ind/>
        <w:jc w:val="center"/>
      </w:pPr>
      <w:r>
        <w:rPr>
          <w:rFonts w:ascii="Times New Roman" w:hAnsi="Times New Roman" w:eastAsia="Times New Roman" w:cs="Times New Roman"/>
          <w:b/>
          <w:sz w:val="20"/>
        </w:rPr>
        <w:t xml:space="preserve">Quadro 1 – Relação entre objetivos, fontes, instrumentos, análise e período</w:t>
      </w:r>
    </w:p>
    <w:tbl>
      <w:tblPr>
        <w:tblLayout w:type="fixed"/>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W w:w="9639" w:type="dxa"/>
        <w:tblLayout w:type="fixed"/>
      </w:tblPr>
      <w:tblGrid>
        <w:gridCol w:w="1757"/>
        <w:gridCol w:w="2778"/>
        <w:gridCol w:w="1871"/>
        <w:gridCol w:w="1927"/>
        <w:gridCol w:w="1304"/>
      </w:tblGrid>
      <w:tr>
        <w:trPr>
          <w:tblHeader w:val="true"/>
          <w:cantSplit/>
          <w:tblHeader/>
        </w:trPr>
        <w:tc>
          <w:tcPr>
            <w:tcW w:type="dxa" w:w="1757"/>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Objetivo</w:t>
            </w:r>
          </w:p>
        </w:tc>
        <w:tc>
          <w:tcPr>
            <w:tcW w:type="dxa" w:w="2778"/>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Participantes e fontes</w:t>
            </w:r>
          </w:p>
        </w:tc>
        <w:tc>
          <w:tcPr>
            <w:tcW w:type="dxa" w:w="1871"/>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Instrumento</w:t>
            </w:r>
          </w:p>
        </w:tc>
        <w:tc>
          <w:tcPr>
            <w:tcW w:type="dxa" w:w="1928"/>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Análise</w:t>
            </w:r>
          </w:p>
        </w:tc>
        <w:tc>
          <w:tcPr>
            <w:tcW w:type="dxa" w:w="1304"/>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Período</w:t>
            </w:r>
          </w:p>
        </w:tc>
      </w:tr>
      <w:tr>
        <w:trPr>
          <w:cantSplit/>
        </w:trPr>
        <w:tc>
          <w:tcPr>
            <w:tcW w:type="dxa" w:w="1757"/>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b/>
                <w:sz w:val="20"/>
              </w:rPr>
              <w:t xml:space="preserve">a) Mapear as instâncias de controle</w:t>
            </w:r>
          </w:p>
        </w:tc>
        <w:tc>
          <w:tcPr>
            <w:tcW w:type="dxa" w:w="277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Normas, relatórios da Corregedoria, do MP-BA e da Ouvidoria; atas do conselho comunitário</w:t>
            </w:r>
          </w:p>
        </w:tc>
        <w:tc>
          <w:tcPr>
            <w:tcW w:type="dxa" w:w="1871"/>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Pesquisa documental e pedidos via Lei de Acesso à Informação</w:t>
            </w:r>
          </w:p>
        </w:tc>
        <w:tc>
          <w:tcPr>
            <w:tcW w:type="dxa" w:w="192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Análise documental e de fluxos</w:t>
            </w:r>
          </w:p>
        </w:tc>
        <w:tc>
          <w:tcPr>
            <w:tcW w:type="dxa" w:w="130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Meses 1 a 8</w:t>
            </w:r>
          </w:p>
        </w:tc>
      </w:tr>
      <w:tr>
        <w:trPr>
          <w:cantSplit/>
        </w:trPr>
        <w:tc>
          <w:tcPr>
            <w:tcW w:type="dxa" w:w="1757"/>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b/>
                <w:sz w:val="20"/>
              </w:rPr>
              <w:t xml:space="preserve">b) Examinar os indicadores do Bahia pela Paz</w:t>
            </w:r>
          </w:p>
        </w:tc>
        <w:tc>
          <w:tcPr>
            <w:tcW w:type="dxa" w:w="2778"/>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Dados da SSP-BA e do FBSP sobre mortes por intervenção policial, por raça/cor (2015-2025)</w:t>
            </w:r>
          </w:p>
        </w:tc>
        <w:tc>
          <w:tcPr>
            <w:tcW w:type="dxa" w:w="1871"/>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Coleta de séries históricas</w:t>
            </w:r>
          </w:p>
        </w:tc>
        <w:tc>
          <w:tcPr>
            <w:tcW w:type="dxa" w:w="1928"/>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Estatística descritiva</w:t>
            </w:r>
          </w:p>
        </w:tc>
        <w:tc>
          <w:tcPr>
            <w:tcW w:type="dxa" w:w="130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Meses 1 a 8</w:t>
            </w:r>
          </w:p>
        </w:tc>
      </w:tr>
      <w:tr>
        <w:trPr>
          <w:cantSplit/>
        </w:trPr>
        <w:tc>
          <w:tcPr>
            <w:tcW w:type="dxa" w:w="1757"/>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b/>
                <w:sz w:val="20"/>
              </w:rPr>
              <w:t xml:space="preserve">c) Compreender as percepções dos atores</w:t>
            </w:r>
          </w:p>
        </w:tc>
        <w:tc>
          <w:tcPr>
            <w:tcW w:type="dxa" w:w="277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30 entrevistados: 8 policiais e gestores, 2 promotores, 2 da Corregedoria e da Ouvidoria, 6 conselheiros e 12 lideranças comunitárias e quilombolas</w:t>
            </w:r>
          </w:p>
        </w:tc>
        <w:tc>
          <w:tcPr>
            <w:tcW w:type="dxa" w:w="1871"/>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Entrevistas semiestruturadas</w:t>
            </w:r>
          </w:p>
        </w:tc>
        <w:tc>
          <w:tcPr>
            <w:tcW w:type="dxa" w:w="192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Análise de conteúdo (BARDIN, 2016)</w:t>
            </w:r>
          </w:p>
        </w:tc>
        <w:tc>
          <w:tcPr>
            <w:tcW w:type="dxa" w:w="130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Meses 9 a 18</w:t>
            </w:r>
          </w:p>
        </w:tc>
      </w:tr>
      <w:tr>
        <w:trPr>
          <w:cantSplit/>
        </w:trPr>
        <w:tc>
          <w:tcPr>
            <w:tcW w:type="dxa" w:w="1757"/>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b/>
                <w:sz w:val="20"/>
              </w:rPr>
              <w:t xml:space="preserve">d) Verificar variações por raça, gênero e território</w:t>
            </w:r>
          </w:p>
        </w:tc>
        <w:tc>
          <w:tcPr>
            <w:tcW w:type="dxa" w:w="2778"/>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Cerca de 120 moradores (40 por território) e 3 grupos focais, um por território</w:t>
            </w:r>
          </w:p>
        </w:tc>
        <w:tc>
          <w:tcPr>
            <w:tcW w:type="dxa" w:w="1871"/>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Questionário com escala de legitimidade e grupos focais</w:t>
            </w:r>
          </w:p>
        </w:tc>
        <w:tc>
          <w:tcPr>
            <w:tcW w:type="dxa" w:w="1928"/>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Estatística descritiva e análise interseccional</w:t>
            </w:r>
          </w:p>
        </w:tc>
        <w:tc>
          <w:tcPr>
            <w:tcW w:type="dxa" w:w="130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Meses 9 a 18</w:t>
            </w:r>
          </w:p>
        </w:tc>
      </w:tr>
      <w:tr>
        <w:trPr>
          <w:cantSplit/>
        </w:trPr>
        <w:tc>
          <w:tcPr>
            <w:tcW w:type="dxa" w:w="1757"/>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b/>
                <w:sz w:val="20"/>
              </w:rPr>
              <w:t xml:space="preserve">e) Propor a matriz de indicadores</w:t>
            </w:r>
          </w:p>
        </w:tc>
        <w:tc>
          <w:tcPr>
            <w:tcW w:type="dxa" w:w="277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Participantes das etapas anteriores</w:t>
            </w:r>
          </w:p>
        </w:tc>
        <w:tc>
          <w:tcPr>
            <w:tcW w:type="dxa" w:w="1871"/>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Oficina devolutiva</w:t>
            </w:r>
          </w:p>
        </w:tc>
        <w:tc>
          <w:tcPr>
            <w:tcW w:type="dxa" w:w="1928"/>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Síntese participativa</w:t>
            </w:r>
          </w:p>
        </w:tc>
        <w:tc>
          <w:tcPr>
            <w:tcW w:type="dxa" w:w="130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Meses 19 a 24</w:t>
            </w:r>
          </w:p>
        </w:tc>
      </w:tr>
    </w:tbl>
    <w:p>
      <w:pPr>
        <w:pStyle w:val="Fonte"/>
        <w:spacing w:line="240" w:lineRule="auto" w:before="40" w:after="240"/>
        <w:ind/>
        <w:jc w:val="left"/>
      </w:pPr>
      <w:r>
        <w:rPr>
          <w:rFonts w:ascii="Times New Roman" w:hAnsi="Times New Roman" w:eastAsia="Times New Roman" w:cs="Times New Roman"/>
          <w:b w:val="0"/>
          <w:sz w:val="20"/>
        </w:rPr>
        <w:t xml:space="preserve">Fonte: elaborado pelo autor.</w:t>
      </w:r>
    </w:p>
    <w:p>
      <w:pPr>
        <w:pStyle w:val="BodyText"/>
        <w:spacing w:line="360" w:lineRule="auto" w:before="0" w:after="120"/>
        <w:ind w:firstLine="709"/>
        <w:jc w:val="both"/>
      </w:pPr>
      <w:r>
        <w:rPr>
          <w:bCs/>
          <w:rFonts w:ascii="Times New Roman" w:hAnsi="Times New Roman" w:eastAsia="Times New Roman" w:cs="Times New Roman"/>
          <w:b/>
          <w:sz w:val="24"/>
        </w:rPr>
        <w:t xml:space="preserve">Viabilidade e riscos.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Os dados por raça/cor podem não estar disponíveis em todas as bases da SSP-BA. Nesse caso, serão utilizados os dados do Fórum Brasileiro de Segurança Pública e reiterados os pedidos via Lei de Acesso à Informação. Eventual recusa de anuência da Polícia Militar não inviabiliza o estudo, pois a análise documental, os questionários e os grupos focais com moradores independem dela.</w:t>
      </w:r>
    </w:p>
    <w:p>
      <w:pPr>
        <w:pStyle w:val="BodyText"/>
        <w:spacing w:line="360" w:lineRule="auto" w:before="0" w:after="120"/>
        <w:ind w:firstLine="709"/>
        <w:jc w:val="both"/>
      </w:pPr>
      <w:r>
        <w:rPr>
          <w:bCs/>
          <w:rFonts w:ascii="Times New Roman" w:hAnsi="Times New Roman" w:eastAsia="Times New Roman" w:cs="Times New Roman"/>
          <w:b/>
          <w:sz w:val="24"/>
        </w:rPr>
        <w:t xml:space="preserve">Considerações éticas.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 projeto será submetido ao Comitê de Ética em Pesquisa, nos termos das Resoluções CNS nº 466/2012 e nº 510/2016, assegurando-se o consentimento livre e esclarecido e o anonimato dos participantes. Na comunidade quilombola, a pesquisa será precedida de consulta à associação representativa e de anuência formal das lideranças. De igual modo, será solicitada a anuência institucional da Polícia Militar. O vínculo profissional do pesquisador com a instituição estudada será tratado com reflexividade, reconhecido tanto como limite potencial quanto como condição privilegiada de acesso ao campo.</w:t>
      </w:r>
    </w:p>
    <w:bookmarkEnd w:id="23"/>
    <w:bookmarkStart w:id="24" w:name="resultados-esperados"/>
    <w:p>
      <w:pPr>
        <w:pStyle w:val="Heading2"/>
        <w:spacing w:line="360" w:lineRule="auto" w:before="240" w:after="120"/>
      </w:pPr>
      <w:r>
        <w:rPr>
          <w:rFonts w:ascii="Times New Roman" w:hAnsi="Times New Roman" w:eastAsia="Times New Roman" w:cs="Times New Roman"/>
          <w:b/>
          <w:i w:val="0"/>
          <w:sz w:val="24"/>
        </w:rPr>
        <w:t xml:space="preserve">5 RESULTADOS ESPERADOS</w:t>
      </w:r>
    </w:p>
    <w:p>
      <w:pPr>
        <w:pStyle w:val="FirstParagraph"/>
        <w:spacing w:line="360" w:lineRule="auto" w:before="0" w:after="120"/>
        <w:ind w:firstLine="709"/>
        <w:jc w:val="both"/>
      </w:pPr>
      <w:r>
        <w:rPr>
          <w:rFonts w:ascii="Times New Roman" w:hAnsi="Times New Roman" w:eastAsia="Times New Roman" w:cs="Times New Roman"/>
          <w:sz w:val="24"/>
        </w:rPr>
        <w:t xml:space="preserve">Espera-se, em primeiro lugar, responder em que medida o controle democrático e a accountability conferem legitimidade ao policiamento comunitário junto às populações negras e quilombolas do Extremo Sul da Bahia. Para a área de conhecimento, a principal contribuição será um modelo analítico que articule, num mesmo quadro, controle policial, legitimidade e raça, dimensões que a literatura brasileira costuma examinar separadamente. A originalidade reside, ainda, na aplicação de uma escala validada de legitimidade policial a territórios interioranos, periféricos e quilombolas, contexto ausente dos estudos concentrados nas capitais. No âmbito da Linha 1, a tese oferecerá evidências empíricas sobre os processos de legitimação do Estado, a relação entre burocracia policial e sociedade civil e a fiscalização de programas de governo.</w:t>
      </w:r>
    </w:p>
    <w:p>
      <w:pPr>
        <w:pStyle w:val="BodyText"/>
        <w:spacing w:line="360" w:lineRule="auto" w:before="0" w:after="120"/>
        <w:ind w:firstLine="709"/>
        <w:jc w:val="both"/>
      </w:pPr>
      <w:r>
        <w:rPr>
          <w:rFonts w:ascii="Times New Roman" w:hAnsi="Times New Roman" w:eastAsia="Times New Roman" w:cs="Times New Roman"/>
          <w:sz w:val="24"/>
        </w:rPr>
        <w:t xml:space="preserve">Para a sociedade, o principal produto será a matriz de indicadores de legitimidade com recorte étnico-racial, construída com os atores locais e alinhada à agenda do ODS 18. Ela será entregue à Secretaria da Segurança Pública, ao Ministério Público e aos conselhos comunitários, e os resultados serão apresentados à comunidade de Helvécia e aos moradores do Baianão e de Eunápolis em oficinas devolutivas. Para o campo profissional, espera-se oferecer subsídios à formação policial e à atuação das instâncias de controle, de modo a que a avaliação do policiamento comunitário considere não apenas o que a polícia produz, mas também como e sobre quem ela atua. Por fim, estão previstos ao menos dois artigos em periódicos da área e a apresentação dos resultados em eventos científicos.</w:t>
      </w:r>
    </w:p>
    <w:bookmarkEnd w:id="24"/>
    <w:bookmarkStart w:id="25" w:name="cronograma"/>
    <w:p>
      <w:pPr>
        <w:pStyle w:val="Heading2"/>
        <w:spacing w:line="360" w:lineRule="auto" w:before="240" w:after="120"/>
      </w:pPr>
      <w:r>
        <w:rPr>
          <w:rFonts w:ascii="Times New Roman" w:hAnsi="Times New Roman" w:eastAsia="Times New Roman" w:cs="Times New Roman"/>
          <w:b/>
          <w:i w:val="0"/>
          <w:sz w:val="24"/>
        </w:rPr>
        <w:t xml:space="preserve">6 CRONOGRAMA</w:t>
      </w:r>
    </w:p>
    <w:p>
      <w:pPr>
        <w:pStyle w:val="Legenda"/>
        <w:spacing w:line="240" w:lineRule="auto" w:before="120" w:after="80"/>
        <w:ind/>
        <w:jc w:val="center"/>
      </w:pPr>
      <w:r>
        <w:rPr>
          <w:rFonts w:ascii="Times New Roman" w:hAnsi="Times New Roman" w:eastAsia="Times New Roman" w:cs="Times New Roman"/>
          <w:b/>
          <w:sz w:val="20"/>
        </w:rPr>
        <w:t xml:space="preserve">Quadro 2 – Cronograma de execução da pesquisa</w:t>
      </w:r>
    </w:p>
    <w:tbl>
      <w:tblPr>
        <w:tblLayout w:type="fixed"/>
        <w:tblLook w:firstRow="1" w:lastRow="0" w:firstColumn="0" w:lastColumn="0" w:noHBand="0" w:noVBand="0" w:val="0020"/>
        <w:jc w:val="center"/>
        <w:tblBorders>
          <w:top w:val="single" w:sz="4" w:color="808080"/>
          <w:left w:val="single" w:sz="4" w:color="808080"/>
          <w:bottom w:val="single" w:sz="4" w:color="808080"/>
          <w:right w:val="single" w:sz="4" w:color="808080"/>
          <w:insideH w:val="single" w:sz="4" w:color="808080"/>
          <w:insideV w:val="single" w:sz="4" w:color="808080"/>
        </w:tblBorders>
        <w:tblW w:w="9639" w:type="dxa"/>
        <w:tblLayout w:type="fixed"/>
      </w:tblPr>
      <w:tblGrid>
        <w:gridCol w:w="1814"/>
        <w:gridCol w:w="7824"/>
      </w:tblGrid>
      <w:tr>
        <w:trPr>
          <w:tblHeader w:val="true"/>
          <w:cantSplit/>
          <w:tblHeader/>
        </w:trPr>
        <w:tc>
          <w:tcPr>
            <w:tcW w:type="dxa" w:w="1814"/>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Período</w:t>
            </w:r>
          </w:p>
        </w:tc>
        <w:tc>
          <w:tcPr>
            <w:tcW w:type="dxa" w:w="7824"/>
            <w:tcMar>
              <w:top w:w="70" w:type="dxa"/>
              <w:bottom w:w="70" w:type="dxa"/>
              <w:left w:w="100" w:type="dxa"/>
              <w:right w:w="100" w:type="dxa"/>
            </w:tcMar>
            <w:vAlign w:val="center"/>
            <w:shd w:val="clear" w:color="auto" w:fill="BFBFBF"/>
          </w:tcPr>
          <w:p>
            <w:pPr>
              <w:pStyle w:val="Compact"/>
              <w:spacing w:line="240" w:lineRule="auto" w:after="0"/>
              <w:jc w:val="center"/>
            </w:pPr>
            <w:r>
              <w:rPr>
                <w:rFonts w:ascii="Times New Roman" w:hAnsi="Times New Roman" w:eastAsia="Times New Roman" w:cs="Times New Roman"/>
                <w:b/>
                <w:sz w:val="20"/>
              </w:rPr>
              <w:t xml:space="preserve">Atividades</w:t>
            </w:r>
          </w:p>
        </w:tc>
      </w:tr>
      <w:tr>
        <w:trPr>
          <w:cantSplit/>
        </w:trPr>
        <w:tc>
          <w:tcPr>
            <w:tcW w:type="dxa" w:w="181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b/>
                <w:sz w:val="20"/>
              </w:rPr>
              <w:t xml:space="preserve">Ano 1 (2027)</w:t>
            </w:r>
          </w:p>
        </w:tc>
        <w:tc>
          <w:tcPr>
            <w:tcW w:type="dxa" w:w="782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Cumprimento de disciplinas; revisão de literatura; pesquisa documental e pedidos via Lei de Acesso à Informação (meses 1 a 8); submissão ao Comitê de Ética (mês 3); início das entrevistas e dos questionários após a aprovação (mês 9)</w:t>
            </w:r>
          </w:p>
        </w:tc>
      </w:tr>
      <w:tr>
        <w:trPr>
          <w:cantSplit/>
        </w:trPr>
        <w:tc>
          <w:tcPr>
            <w:tcW w:type="dxa" w:w="181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b/>
                <w:sz w:val="20"/>
              </w:rPr>
              <w:t xml:space="preserve">Ano 2 (2028)</w:t>
            </w:r>
          </w:p>
        </w:tc>
        <w:tc>
          <w:tcPr>
            <w:tcW w:type="dxa" w:w="782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Conclusão das entrevistas, dos questionários e dos grupos focais (até o mês 18); exame de qualificação; oficina devolutiva (meses 19 a 24)</w:t>
            </w:r>
          </w:p>
        </w:tc>
      </w:tr>
      <w:tr>
        <w:trPr>
          <w:cantSplit/>
        </w:trPr>
        <w:tc>
          <w:tcPr>
            <w:tcW w:type="dxa" w:w="181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b/>
                <w:sz w:val="20"/>
              </w:rPr>
              <w:t xml:space="preserve">Ano 3 (2029)</w:t>
            </w:r>
          </w:p>
        </w:tc>
        <w:tc>
          <w:tcPr>
            <w:tcW w:type="dxa" w:w="7824"/>
            <w:tcMar>
              <w:top w:w="70" w:type="dxa"/>
              <w:bottom w:w="70" w:type="dxa"/>
              <w:left w:w="100" w:type="dxa"/>
              <w:right w:w="100" w:type="dxa"/>
            </w:tcMar>
            <w:vAlign w:val="center"/>
            <w:shd w:val="clear" w:color="auto" w:fill="FFFFFF"/>
          </w:tcPr>
          <w:p>
            <w:pPr>
              <w:pStyle w:val="Compact"/>
              <w:spacing w:line="240" w:lineRule="auto" w:after="0"/>
              <w:jc w:val="left"/>
            </w:pPr>
            <w:r>
              <w:rPr>
                <w:rFonts w:ascii="Times New Roman" w:hAnsi="Times New Roman" w:eastAsia="Times New Roman" w:cs="Times New Roman"/>
                <w:sz w:val="20"/>
              </w:rPr>
              <w:t xml:space="preserve">Análise integrada dos dados; publicação de artigos</w:t>
            </w:r>
          </w:p>
        </w:tc>
      </w:tr>
      <w:tr>
        <w:trPr>
          <w:cantSplit/>
        </w:trPr>
        <w:tc>
          <w:tcPr>
            <w:tcW w:type="dxa" w:w="181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b/>
                <w:sz w:val="20"/>
              </w:rPr>
              <w:t xml:space="preserve">Ano 4 (2030)</w:t>
            </w:r>
          </w:p>
        </w:tc>
        <w:tc>
          <w:tcPr>
            <w:tcW w:type="dxa" w:w="7824"/>
            <w:tcMar>
              <w:top w:w="70" w:type="dxa"/>
              <w:bottom w:w="70" w:type="dxa"/>
              <w:left w:w="100" w:type="dxa"/>
              <w:right w:w="100" w:type="dxa"/>
            </w:tcMar>
            <w:vAlign w:val="center"/>
            <w:shd w:val="clear" w:color="auto" w:fill="EDEDED"/>
          </w:tcPr>
          <w:p>
            <w:pPr>
              <w:pStyle w:val="Compact"/>
              <w:spacing w:line="240" w:lineRule="auto" w:after="0"/>
              <w:jc w:val="left"/>
            </w:pPr>
            <w:r>
              <w:rPr>
                <w:rFonts w:ascii="Times New Roman" w:hAnsi="Times New Roman" w:eastAsia="Times New Roman" w:cs="Times New Roman"/>
                <w:sz w:val="20"/>
              </w:rPr>
              <w:t xml:space="preserve">Consolidação da matriz de indicadores; redação final; defesa</w:t>
            </w:r>
          </w:p>
        </w:tc>
      </w:tr>
    </w:tbl>
    <w:p>
      <w:pPr>
        <w:pStyle w:val="Fonte"/>
        <w:spacing w:line="240" w:lineRule="auto" w:before="40" w:after="240"/>
        <w:ind/>
        <w:jc w:val="left"/>
      </w:pPr>
      <w:r>
        <w:rPr>
          <w:rFonts w:ascii="Times New Roman" w:hAnsi="Times New Roman" w:eastAsia="Times New Roman" w:cs="Times New Roman"/>
          <w:b w:val="0"/>
          <w:sz w:val="20"/>
        </w:rPr>
        <w:t xml:space="preserve">Fonte: elaborado pelo autor.</w:t>
      </w:r>
    </w:p>
    <w:bookmarkEnd w:id="25"/>
    <w:bookmarkStart w:id="26" w:name="referências"/>
    <w:p>
      <w:pPr>
        <w:pStyle w:val="Heading2"/>
        <w:spacing w:line="360" w:lineRule="auto" w:before="240" w:after="120"/>
      </w:pPr>
      <w:r>
        <w:rPr>
          <w:rFonts w:ascii="Times New Roman" w:hAnsi="Times New Roman" w:eastAsia="Times New Roman" w:cs="Times New Roman"/>
          <w:b/>
          <w:i w:val="0"/>
          <w:sz w:val="24"/>
        </w:rPr>
        <w:t xml:space="preserve">REFERÊNCIAS</w:t>
      </w:r>
    </w:p>
    <w:p>
      <w:pPr>
        <w:pStyle w:val="FirstParagraph"/>
        <w:spacing w:line="240" w:lineRule="auto" w:before="0" w:after="240"/>
        <w:jc w:val="left"/>
      </w:pPr>
      <w:r>
        <w:rPr>
          <w:rFonts w:ascii="Times New Roman" w:hAnsi="Times New Roman" w:eastAsia="Times New Roman" w:cs="Times New Roman"/>
          <w:sz w:val="24"/>
        </w:rPr>
        <w:t xml:space="preserve">AKOTIRENE, C.</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Interseccionalidade</w:t>
      </w:r>
      <w:r>
        <w:rPr>
          <w:rFonts w:ascii="Times New Roman" w:hAnsi="Times New Roman" w:eastAsia="Times New Roman" w:cs="Times New Roman"/>
          <w:sz w:val="24"/>
        </w:rPr>
        <w:t xml:space="preserve">. São Paulo: Pólen, 2019.</w:t>
      </w:r>
    </w:p>
    <w:p>
      <w:pPr>
        <w:pStyle w:val="BodyText"/>
        <w:spacing w:line="240" w:lineRule="auto" w:before="0" w:after="240"/>
        <w:jc w:val="left"/>
      </w:pPr>
      <w:r>
        <w:rPr>
          <w:rFonts w:ascii="Times New Roman" w:hAnsi="Times New Roman" w:eastAsia="Times New Roman" w:cs="Times New Roman"/>
          <w:sz w:val="24"/>
        </w:rPr>
        <w:t xml:space="preserve">ALMEIDA, S. 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Racismo estrutural</w:t>
      </w:r>
      <w:r>
        <w:rPr>
          <w:rFonts w:ascii="Times New Roman" w:hAnsi="Times New Roman" w:eastAsia="Times New Roman" w:cs="Times New Roman"/>
          <w:sz w:val="24"/>
        </w:rPr>
        <w:t xml:space="preserve">. São Paulo: Pólen, 2019.</w:t>
      </w:r>
    </w:p>
    <w:p>
      <w:pPr>
        <w:pStyle w:val="BodyText"/>
        <w:spacing w:line="240" w:lineRule="auto" w:before="0" w:after="240"/>
        <w:jc w:val="left"/>
      </w:pPr>
      <w:r>
        <w:rPr>
          <w:rFonts w:ascii="Times New Roman" w:hAnsi="Times New Roman" w:eastAsia="Times New Roman" w:cs="Times New Roman"/>
          <w:sz w:val="24"/>
        </w:rPr>
        <w:t xml:space="preserve">ANUNCIAÇÃO, D.; TRAD, L. A. B.; FERREIRA, 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Mão na cabeça!</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abordagem policial, racismo e violência estrutural entre jovens negros de três capitais do Nordeste.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Saúde e Sociedade</w:t>
      </w:r>
      <w:r>
        <w:rPr>
          <w:rFonts w:ascii="Times New Roman" w:hAnsi="Times New Roman" w:eastAsia="Times New Roman" w:cs="Times New Roman"/>
          <w:sz w:val="24"/>
        </w:rPr>
        <w:t xml:space="preserve">, São Paulo, v. 29, n. 1, e190271, 2020. DOI: 10.1590/S0104-12902020190271.</w:t>
      </w:r>
    </w:p>
    <w:p>
      <w:pPr>
        <w:pStyle w:val="BodyText"/>
        <w:spacing w:line="240" w:lineRule="auto" w:before="0" w:after="240"/>
        <w:jc w:val="left"/>
      </w:pPr>
      <w:r>
        <w:rPr>
          <w:rFonts w:ascii="Times New Roman" w:hAnsi="Times New Roman" w:eastAsia="Times New Roman" w:cs="Times New Roman"/>
          <w:sz w:val="24"/>
        </w:rPr>
        <w:t xml:space="preserve">ARAÚJO, E. M.; OLIVEIRA, R. R. S.; SAMPAIO, A. A. S. Qualidade metodológica das pesquisas documentais sobre controle disciplinar interno da Polícia Militar: revisão sistemática da literatura.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Brasileira de Segurança Pública</w:t>
      </w:r>
      <w:r>
        <w:rPr>
          <w:rFonts w:ascii="Times New Roman" w:hAnsi="Times New Roman" w:eastAsia="Times New Roman" w:cs="Times New Roman"/>
          <w:sz w:val="24"/>
        </w:rPr>
        <w:t xml:space="preserve">, São Paulo, v. 19, n. 1, p. 342-357, fev./mar. 2025.</w:t>
      </w:r>
    </w:p>
    <w:p>
      <w:pPr>
        <w:pStyle w:val="BodyText"/>
        <w:spacing w:line="240" w:lineRule="auto" w:before="0" w:after="240"/>
        <w:jc w:val="left"/>
      </w:pPr>
      <w:r>
        <w:rPr>
          <w:rFonts w:ascii="Times New Roman" w:hAnsi="Times New Roman" w:eastAsia="Times New Roman" w:cs="Times New Roman"/>
          <w:sz w:val="24"/>
        </w:rPr>
        <w:t xml:space="preserve">BARDIN, 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Análise de conteúdo</w:t>
      </w:r>
      <w:r>
        <w:rPr>
          <w:rFonts w:ascii="Times New Roman" w:hAnsi="Times New Roman" w:eastAsia="Times New Roman" w:cs="Times New Roman"/>
          <w:sz w:val="24"/>
        </w:rPr>
        <w:t xml:space="preserve">. São Paulo: Edições 70, 2016.</w:t>
      </w:r>
    </w:p>
    <w:p>
      <w:pPr>
        <w:pStyle w:val="BodyText"/>
        <w:spacing w:line="240" w:lineRule="auto" w:before="0" w:after="240"/>
        <w:jc w:val="left"/>
      </w:pPr>
      <w:r>
        <w:rPr>
          <w:rFonts w:ascii="Times New Roman" w:hAnsi="Times New Roman" w:eastAsia="Times New Roman" w:cs="Times New Roman"/>
          <w:sz w:val="24"/>
        </w:rPr>
        <w:t xml:space="preserve">BAYLEY, D. H.</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Padrões de policiamento</w:t>
      </w:r>
      <w:r>
        <w:rPr>
          <w:rFonts w:ascii="Times New Roman" w:hAnsi="Times New Roman" w:eastAsia="Times New Roman" w:cs="Times New Roman"/>
          <w:sz w:val="24"/>
        </w:rPr>
        <w:t xml:space="preserve">: uma análise internacional comparativa. São Paulo: Edusp, 2001.</w:t>
      </w:r>
    </w:p>
    <w:p>
      <w:pPr>
        <w:pStyle w:val="BodyText"/>
        <w:spacing w:line="240" w:lineRule="auto" w:before="0" w:after="240"/>
        <w:jc w:val="left"/>
      </w:pPr>
      <w:r>
        <w:rPr>
          <w:rFonts w:ascii="Times New Roman" w:hAnsi="Times New Roman" w:eastAsia="Times New Roman" w:cs="Times New Roman"/>
          <w:sz w:val="24"/>
        </w:rPr>
        <w:t xml:space="preserve">BEETHAM, D.</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The legitimation of power</w:t>
      </w:r>
      <w:r>
        <w:rPr>
          <w:rFonts w:ascii="Times New Roman" w:hAnsi="Times New Roman" w:eastAsia="Times New Roman" w:cs="Times New Roman"/>
          <w:sz w:val="24"/>
        </w:rPr>
        <w:t xml:space="preserve">. London: Macmillan, 1991.</w:t>
      </w:r>
    </w:p>
    <w:p>
      <w:pPr>
        <w:pStyle w:val="BodyText"/>
        <w:spacing w:line="240" w:lineRule="auto" w:before="0" w:after="240"/>
        <w:jc w:val="left"/>
      </w:pPr>
      <w:r>
        <w:rPr>
          <w:rFonts w:ascii="Times New Roman" w:hAnsi="Times New Roman" w:eastAsia="Times New Roman" w:cs="Times New Roman"/>
          <w:sz w:val="24"/>
        </w:rPr>
        <w:t xml:space="preserve">BENTO, C.</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 pacto da branquitude</w:t>
      </w:r>
      <w:r>
        <w:rPr>
          <w:rFonts w:ascii="Times New Roman" w:hAnsi="Times New Roman" w:eastAsia="Times New Roman" w:cs="Times New Roman"/>
          <w:sz w:val="24"/>
        </w:rPr>
        <w:t xml:space="preserve">. São Paulo: Companhia das Letras, 2022.</w:t>
      </w:r>
    </w:p>
    <w:p>
      <w:pPr>
        <w:pStyle w:val="BodyText"/>
        <w:spacing w:line="240" w:lineRule="auto" w:before="0" w:after="240"/>
        <w:jc w:val="left"/>
      </w:pPr>
      <w:r>
        <w:rPr>
          <w:rFonts w:ascii="Times New Roman" w:hAnsi="Times New Roman" w:eastAsia="Times New Roman" w:cs="Times New Roman"/>
          <w:sz w:val="24"/>
        </w:rPr>
        <w:t xml:space="preserve">BUENO, S.; LIMA, R. S.; TEIXEIRA, M. A. C. Sujeito ou demandante? Reflexões sobre o caráter da participação nos conselhos comunitários de segurança de São Paulo.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Sociologias</w:t>
      </w:r>
      <w:r>
        <w:rPr>
          <w:rFonts w:ascii="Times New Roman" w:hAnsi="Times New Roman" w:eastAsia="Times New Roman" w:cs="Times New Roman"/>
          <w:sz w:val="24"/>
        </w:rPr>
        <w:t xml:space="preserve">, Porto Alegre, v. 18, n. 42, p. 328-355, 2016. DOI: 10.1590/15174522-018004214.</w:t>
      </w:r>
    </w:p>
    <w:p>
      <w:pPr>
        <w:pStyle w:val="BodyText"/>
        <w:spacing w:line="240" w:lineRule="auto" w:before="0" w:after="240"/>
        <w:jc w:val="left"/>
      </w:pPr>
      <w:r>
        <w:rPr>
          <w:rFonts w:ascii="Times New Roman" w:hAnsi="Times New Roman" w:eastAsia="Times New Roman" w:cs="Times New Roman"/>
          <w:sz w:val="24"/>
        </w:rPr>
        <w:t xml:space="preserve">COSTA, A. T. M.</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Entre a lei e a ordem</w:t>
      </w:r>
      <w:r>
        <w:rPr>
          <w:rFonts w:ascii="Times New Roman" w:hAnsi="Times New Roman" w:eastAsia="Times New Roman" w:cs="Times New Roman"/>
          <w:sz w:val="24"/>
        </w:rPr>
        <w:t xml:space="preserve">: violência e reforma nas polícias do Rio de Janeiro e Nova York. Rio de Janeiro: Editora FGV, 2004.</w:t>
      </w:r>
    </w:p>
    <w:p>
      <w:pPr>
        <w:pStyle w:val="BodyText"/>
        <w:spacing w:line="240" w:lineRule="auto" w:before="0" w:after="240"/>
        <w:jc w:val="left"/>
      </w:pPr>
      <w:r>
        <w:rPr>
          <w:rFonts w:ascii="Times New Roman" w:hAnsi="Times New Roman" w:eastAsia="Times New Roman" w:cs="Times New Roman"/>
          <w:sz w:val="24"/>
        </w:rPr>
        <w:t xml:space="preserve">FERREIRA, D. V. S.; ROSSONI, L.; OLIVEIRA, C. R. Lógicas institucionais do policiamento comunitário: esquema analítico e agenda de pesquisa para o contexto brasileiro.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de Administração Pública</w:t>
      </w:r>
      <w:r>
        <w:rPr>
          <w:rFonts w:ascii="Times New Roman" w:hAnsi="Times New Roman" w:eastAsia="Times New Roman" w:cs="Times New Roman"/>
          <w:sz w:val="24"/>
        </w:rPr>
        <w:t xml:space="preserve">, Rio de Janeiro, v. 56, n. 1, p. 134-162, jan./fev. 2022. DOI: 10.1590/0034-761220210122.</w:t>
      </w:r>
    </w:p>
    <w:p>
      <w:pPr>
        <w:pStyle w:val="BodyText"/>
        <w:spacing w:line="240" w:lineRule="auto" w:before="0" w:after="240"/>
        <w:jc w:val="left"/>
      </w:pPr>
      <w:r>
        <w:rPr>
          <w:rFonts w:ascii="Times New Roman" w:hAnsi="Times New Roman" w:eastAsia="Times New Roman" w:cs="Times New Roman"/>
          <w:sz w:val="24"/>
        </w:rPr>
        <w:t xml:space="preserve">FLAUZINA, A. L. P.</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Corpo negro caído no chão</w:t>
      </w:r>
      <w:r>
        <w:rPr>
          <w:rFonts w:ascii="Times New Roman" w:hAnsi="Times New Roman" w:eastAsia="Times New Roman" w:cs="Times New Roman"/>
          <w:sz w:val="24"/>
        </w:rPr>
        <w:t xml:space="preserve">: o sistema penal e o projeto genocida do Estado brasileiro. 2006. Dissertação (Mestrado em Direito) – Universidade de Brasília, Brasília, 2006.</w:t>
      </w:r>
    </w:p>
    <w:p>
      <w:pPr>
        <w:pStyle w:val="BodyText"/>
        <w:spacing w:line="240" w:lineRule="auto" w:before="0" w:after="240"/>
        <w:jc w:val="left"/>
      </w:pPr>
      <w:r>
        <w:rPr>
          <w:rFonts w:ascii="Times New Roman" w:hAnsi="Times New Roman" w:eastAsia="Times New Roman" w:cs="Times New Roman"/>
          <w:sz w:val="24"/>
        </w:rPr>
        <w:t xml:space="preserve">FÓRUM BRASILEIRO DE SEGURANÇA PÚBLICA.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Anuário Brasileiro de Segurança Pública 2026</w:t>
      </w:r>
      <w:r>
        <w:rPr>
          <w:rFonts w:ascii="Times New Roman" w:hAnsi="Times New Roman" w:eastAsia="Times New Roman" w:cs="Times New Roman"/>
          <w:sz w:val="24"/>
        </w:rPr>
        <w:t xml:space="preserve">. São Paulo: FBSP, 2026.</w:t>
      </w:r>
    </w:p>
    <w:p>
      <w:pPr>
        <w:pStyle w:val="BodyText"/>
        <w:spacing w:line="240" w:lineRule="auto" w:before="0" w:after="240"/>
        <w:jc w:val="left"/>
      </w:pPr>
      <w:r>
        <w:rPr>
          <w:rFonts w:ascii="Times New Roman" w:hAnsi="Times New Roman" w:eastAsia="Times New Roman" w:cs="Times New Roman"/>
          <w:sz w:val="24"/>
        </w:rPr>
        <w:t xml:space="preserve">GONZALEZ, L. A categoria político-cultural de amefricanidade.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Tempo Brasileiro</w:t>
      </w:r>
      <w:r>
        <w:rPr>
          <w:rFonts w:ascii="Times New Roman" w:hAnsi="Times New Roman" w:eastAsia="Times New Roman" w:cs="Times New Roman"/>
          <w:sz w:val="24"/>
        </w:rPr>
        <w:t xml:space="preserve">, Rio de Janeiro, n. 92/93, p. 69-82, jan./jun. 1988.</w:t>
      </w:r>
    </w:p>
    <w:p>
      <w:pPr>
        <w:pStyle w:val="BodyText"/>
        <w:spacing w:line="240" w:lineRule="auto" w:before="0" w:after="240"/>
        <w:jc w:val="left"/>
      </w:pPr>
      <w:r>
        <w:rPr>
          <w:rFonts w:ascii="Times New Roman" w:hAnsi="Times New Roman" w:eastAsia="Times New Roman" w:cs="Times New Roman"/>
          <w:sz w:val="24"/>
        </w:rPr>
        <w:t xml:space="preserve">LEMGRUBER, J.; MUSUMECI, L.; CANO, I.</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Quem vigia os vigias?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Um estudo sobre controle externo da polícia no Brasil. Rio de Janeiro: Record, 2003.</w:t>
      </w:r>
    </w:p>
    <w:p>
      <w:pPr>
        <w:pStyle w:val="BodyText"/>
        <w:spacing w:line="240" w:lineRule="auto" w:before="0" w:after="240"/>
        <w:jc w:val="left"/>
      </w:pPr>
      <w:r>
        <w:rPr>
          <w:rFonts w:ascii="Times New Roman" w:hAnsi="Times New Roman" w:eastAsia="Times New Roman" w:cs="Times New Roman"/>
          <w:sz w:val="24"/>
        </w:rPr>
        <w:t xml:space="preserve">LUI, L.; SALES, E. R. Policiamento baseado em evidências: uma revisão bibliométrica.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Brasileira de Segurança Pública</w:t>
      </w:r>
      <w:r>
        <w:rPr>
          <w:rFonts w:ascii="Times New Roman" w:hAnsi="Times New Roman" w:eastAsia="Times New Roman" w:cs="Times New Roman"/>
          <w:sz w:val="24"/>
        </w:rPr>
        <w:t xml:space="preserve">, São Paulo, v. 18, n. 1, p. 344-359, fev./mar. 2024.</w:t>
      </w:r>
    </w:p>
    <w:p>
      <w:pPr>
        <w:pStyle w:val="BodyText"/>
        <w:spacing w:line="240" w:lineRule="auto" w:before="0" w:after="240"/>
        <w:jc w:val="left"/>
      </w:pPr>
      <w:r>
        <w:rPr>
          <w:rFonts w:ascii="Times New Roman" w:hAnsi="Times New Roman" w:eastAsia="Times New Roman" w:cs="Times New Roman"/>
          <w:sz w:val="24"/>
        </w:rPr>
        <w:t xml:space="preserve">MUNIZ, J.; PAES-MACHADO, E. Polícia para quem precisa de polícia: contribuições aos estudos sobre policiamento.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Caderno CRH</w:t>
      </w:r>
      <w:r>
        <w:rPr>
          <w:rFonts w:ascii="Times New Roman" w:hAnsi="Times New Roman" w:eastAsia="Times New Roman" w:cs="Times New Roman"/>
          <w:sz w:val="24"/>
        </w:rPr>
        <w:t xml:space="preserve">, Salvador, v. 23, n. 60, 2010.</w:t>
      </w:r>
    </w:p>
    <w:p>
      <w:pPr>
        <w:pStyle w:val="BodyText"/>
        <w:spacing w:line="240" w:lineRule="auto" w:before="0" w:after="240"/>
        <w:jc w:val="left"/>
      </w:pPr>
      <w:r>
        <w:rPr>
          <w:rFonts w:ascii="Times New Roman" w:hAnsi="Times New Roman" w:eastAsia="Times New Roman" w:cs="Times New Roman"/>
          <w:sz w:val="24"/>
        </w:rPr>
        <w:t xml:space="preserve">NASCIMENTO, 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 quilombismo</w:t>
      </w:r>
      <w:r>
        <w:rPr>
          <w:rFonts w:ascii="Times New Roman" w:hAnsi="Times New Roman" w:eastAsia="Times New Roman" w:cs="Times New Roman"/>
          <w:sz w:val="24"/>
        </w:rPr>
        <w:t xml:space="preserve">: documentos de uma militância pan-africanista. Petrópolis: Vozes, 1980.</w:t>
      </w:r>
    </w:p>
    <w:p>
      <w:pPr>
        <w:pStyle w:val="BodyText"/>
        <w:spacing w:line="240" w:lineRule="auto" w:before="0" w:after="240"/>
        <w:jc w:val="left"/>
      </w:pPr>
      <w:r>
        <w:rPr>
          <w:rFonts w:ascii="Times New Roman" w:hAnsi="Times New Roman" w:eastAsia="Times New Roman" w:cs="Times New Roman"/>
          <w:sz w:val="24"/>
        </w:rPr>
        <w:t xml:space="preserve">OLIVEIRA, C. B. F.; SANTOS, M. P.; ROCHA, J. C. S. Lei de drogas e encarceramento feminino negro: uma revisão de literatura sob ótica interseccional.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Opará: Etnicidades, Movimentos Sociais e Educação</w:t>
      </w:r>
      <w:r>
        <w:rPr>
          <w:rFonts w:ascii="Times New Roman" w:hAnsi="Times New Roman" w:eastAsia="Times New Roman" w:cs="Times New Roman"/>
          <w:sz w:val="24"/>
        </w:rPr>
        <w:t xml:space="preserve">, v. 8, p. 2-15, 2021.</w:t>
      </w:r>
    </w:p>
    <w:p>
      <w:pPr>
        <w:pStyle w:val="BodyText"/>
        <w:spacing w:line="240" w:lineRule="auto" w:before="0" w:after="240"/>
        <w:jc w:val="left"/>
      </w:pPr>
      <w:r>
        <w:rPr>
          <w:rFonts w:ascii="Times New Roman" w:hAnsi="Times New Roman" w:eastAsia="Times New Roman" w:cs="Times New Roman"/>
          <w:sz w:val="24"/>
        </w:rPr>
        <w:t xml:space="preserve">OLIVEIRA, C. B. F.; TORRES, E.; TORRES, O. Vidas negras: um panorama sobre os dados de encarceramento e homicídios de jovens negros no Brasil.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Trama Interdisciplinar</w:t>
      </w:r>
      <w:r>
        <w:rPr>
          <w:rFonts w:ascii="Times New Roman" w:hAnsi="Times New Roman" w:eastAsia="Times New Roman" w:cs="Times New Roman"/>
          <w:sz w:val="24"/>
        </w:rPr>
        <w:t xml:space="preserve">, São Paulo, v. 9, n. 1, p. 86-106, 2018.</w:t>
      </w:r>
    </w:p>
    <w:p>
      <w:pPr>
        <w:pStyle w:val="BodyText"/>
        <w:spacing w:line="240" w:lineRule="auto" w:before="0" w:after="240"/>
        <w:jc w:val="left"/>
      </w:pPr>
      <w:r>
        <w:rPr>
          <w:rFonts w:ascii="Times New Roman" w:hAnsi="Times New Roman" w:eastAsia="Times New Roman" w:cs="Times New Roman"/>
          <w:sz w:val="24"/>
        </w:rPr>
        <w:t xml:space="preserve">OLIVEIRA, T. R.; OLIVEIRA, A. R.; ADORNO, S. Legitimidade policial: um modelo de mensuração.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Brasileira de Ciências Sociais</w:t>
      </w:r>
      <w:r>
        <w:rPr>
          <w:rFonts w:ascii="Times New Roman" w:hAnsi="Times New Roman" w:eastAsia="Times New Roman" w:cs="Times New Roman"/>
          <w:sz w:val="24"/>
        </w:rPr>
        <w:t xml:space="preserve">, São Paulo, v. 34, n. 100, e3410007, 2019. DOI: 10.1590/3410007/2019.</w:t>
      </w:r>
    </w:p>
    <w:p>
      <w:pPr>
        <w:pStyle w:val="BodyText"/>
        <w:spacing w:line="240" w:lineRule="auto" w:before="0" w:after="240"/>
        <w:jc w:val="left"/>
      </w:pPr>
      <w:r>
        <w:rPr>
          <w:rFonts w:ascii="Times New Roman" w:hAnsi="Times New Roman" w:eastAsia="Times New Roman" w:cs="Times New Roman"/>
          <w:sz w:val="24"/>
        </w:rPr>
        <w:t xml:space="preserve">PEDROSA JÚNIOR, J. L. C.; MONTEIRO, L. M.; NASCIMENTO, E. O. Accountability e controle externo da atividade policial: uma análise das diretrizes do CNMP no enfrentamento à letalidade policial.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REDES: Revista Eletrônica Direito e Sociedade</w:t>
      </w:r>
      <w:r>
        <w:rPr>
          <w:rFonts w:ascii="Times New Roman" w:hAnsi="Times New Roman" w:eastAsia="Times New Roman" w:cs="Times New Roman"/>
          <w:sz w:val="24"/>
        </w:rPr>
        <w:t xml:space="preserve">, Canoas, v. 11, n. 2, 2023. DOI: 10.18316/REDES.v11i2.9556.</w:t>
      </w:r>
    </w:p>
    <w:p>
      <w:pPr>
        <w:pStyle w:val="BodyText"/>
        <w:spacing w:line="240" w:lineRule="auto" w:before="0" w:after="240"/>
        <w:jc w:val="left"/>
      </w:pPr>
      <w:r>
        <w:rPr>
          <w:rFonts w:ascii="Times New Roman" w:hAnsi="Times New Roman" w:eastAsia="Times New Roman" w:cs="Times New Roman"/>
          <w:sz w:val="24"/>
        </w:rPr>
        <w:t xml:space="preserve">RAMOS, S.; MUSUMECI, L.</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Elemento suspeito</w:t>
      </w:r>
      <w:r>
        <w:rPr>
          <w:rFonts w:ascii="Times New Roman" w:hAnsi="Times New Roman" w:eastAsia="Times New Roman" w:cs="Times New Roman"/>
          <w:sz w:val="24"/>
        </w:rPr>
        <w:t xml:space="preserve">: abordagem policial e discriminação na cidade do Rio de Janeiro. Rio de Janeiro: Civilização Brasileira, 2005.</w:t>
      </w:r>
    </w:p>
    <w:p>
      <w:pPr>
        <w:pStyle w:val="BodyText"/>
        <w:spacing w:line="240" w:lineRule="auto" w:before="0" w:after="240"/>
        <w:jc w:val="left"/>
      </w:pPr>
      <w:r>
        <w:rPr>
          <w:rFonts w:ascii="Times New Roman" w:hAnsi="Times New Roman" w:eastAsia="Times New Roman" w:cs="Times New Roman"/>
          <w:sz w:val="24"/>
        </w:rPr>
        <w:t xml:space="preserve">ROLIM, M. F.; HERMANN, D. Confiança nas polícias: percepção dos residentes e desafios para a gestão.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Sociologias</w:t>
      </w:r>
      <w:r>
        <w:rPr>
          <w:rFonts w:ascii="Times New Roman" w:hAnsi="Times New Roman" w:eastAsia="Times New Roman" w:cs="Times New Roman"/>
          <w:sz w:val="24"/>
        </w:rPr>
        <w:t xml:space="preserve">, Porto Alegre, v. 20, n. 48, p. 188-211, maio/ago. 2018. DOI: 10.1590/15174522-020004812.</w:t>
      </w:r>
    </w:p>
    <w:p>
      <w:pPr>
        <w:pStyle w:val="BodyText"/>
        <w:spacing w:line="240" w:lineRule="auto" w:before="0" w:after="240"/>
        <w:jc w:val="left"/>
      </w:pPr>
      <w:r>
        <w:rPr>
          <w:rFonts w:ascii="Times New Roman" w:hAnsi="Times New Roman" w:eastAsia="Times New Roman" w:cs="Times New Roman"/>
          <w:sz w:val="24"/>
        </w:rPr>
        <w:t xml:space="preserve">SANTOS, A. P.; GOMES, A. O. Desempenho de organizações policiais: revisão sistemática da literatura.</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do Serviço Público</w:t>
      </w:r>
      <w:r>
        <w:rPr>
          <w:rFonts w:ascii="Times New Roman" w:hAnsi="Times New Roman" w:eastAsia="Times New Roman" w:cs="Times New Roman"/>
          <w:sz w:val="24"/>
        </w:rPr>
        <w:t xml:space="preserve">, Brasília, v. 72, n. 1, p. 262-291, jan./mar. 2021. DOI: 10.21874/rsp.v72i01.4881.</w:t>
      </w:r>
    </w:p>
    <w:p>
      <w:pPr>
        <w:pStyle w:val="BodyText"/>
        <w:spacing w:line="240" w:lineRule="auto" w:before="0" w:after="240"/>
        <w:jc w:val="left"/>
      </w:pPr>
      <w:r>
        <w:rPr>
          <w:rFonts w:ascii="Times New Roman" w:hAnsi="Times New Roman" w:eastAsia="Times New Roman" w:cs="Times New Roman"/>
          <w:sz w:val="24"/>
        </w:rPr>
        <w:t xml:space="preserve">SANTOS, M. C. R. C. F. Convenção Interamericana contra o Racismo: uma análise sobre seu impacto na ordem constitucional e no sistema de justiça e segurança pública brasileiros.</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Jurídica Diké</w:t>
      </w:r>
      <w:r>
        <w:rPr>
          <w:rFonts w:ascii="Times New Roman" w:hAnsi="Times New Roman" w:eastAsia="Times New Roman" w:cs="Times New Roman"/>
          <w:sz w:val="24"/>
        </w:rPr>
        <w:t xml:space="preserve">, Ilhéus, v. 24, p. 2-22, 2025.</w:t>
      </w:r>
    </w:p>
    <w:p>
      <w:pPr>
        <w:pStyle w:val="BodyText"/>
        <w:spacing w:line="240" w:lineRule="auto" w:before="0" w:after="240"/>
        <w:jc w:val="left"/>
      </w:pPr>
      <w:r>
        <w:rPr>
          <w:rFonts w:ascii="Times New Roman" w:hAnsi="Times New Roman" w:eastAsia="Times New Roman" w:cs="Times New Roman"/>
          <w:sz w:val="24"/>
        </w:rPr>
        <w:t xml:space="preserve">SAPORI, L. F.</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Segurança pública no Brasil</w:t>
      </w:r>
      <w:r>
        <w:rPr>
          <w:rFonts w:ascii="Times New Roman" w:hAnsi="Times New Roman" w:eastAsia="Times New Roman" w:cs="Times New Roman"/>
          <w:sz w:val="24"/>
        </w:rPr>
        <w:t xml:space="preserve">: desafios e perspectivas. Rio de Janeiro: Editora FGV, 2007.</w:t>
      </w:r>
    </w:p>
    <w:p>
      <w:pPr>
        <w:pStyle w:val="BodyText"/>
        <w:spacing w:line="240" w:lineRule="auto" w:before="0" w:after="240"/>
        <w:jc w:val="left"/>
      </w:pPr>
      <w:r>
        <w:rPr>
          <w:rFonts w:ascii="Times New Roman" w:hAnsi="Times New Roman" w:eastAsia="Times New Roman" w:cs="Times New Roman"/>
          <w:sz w:val="24"/>
        </w:rPr>
        <w:t xml:space="preserve">SILVA, R. G.</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Currículo de formação da Polícia Militar da Bahia e racismo institucional</w:t>
      </w:r>
      <w:r>
        <w:rPr>
          <w:rFonts w:ascii="Times New Roman" w:hAnsi="Times New Roman" w:eastAsia="Times New Roman" w:cs="Times New Roman"/>
          <w:sz w:val="24"/>
        </w:rPr>
        <w:t xml:space="preserve">: um estudo sobre as presenças e ausências da discussão étnico-racial. 2021. Dissertação (Mestrado em Ensino e Relações Étnico-Raciais) – Universidade Federal do Sul da Bahia, Porto Seguro, 2021.</w:t>
      </w:r>
    </w:p>
    <w:p>
      <w:pPr>
        <w:pStyle w:val="BodyText"/>
        <w:spacing w:line="240" w:lineRule="auto" w:before="0" w:after="240"/>
        <w:jc w:val="left"/>
      </w:pPr>
      <w:r>
        <w:rPr>
          <w:rFonts w:ascii="Times New Roman" w:hAnsi="Times New Roman" w:eastAsia="Times New Roman" w:cs="Times New Roman"/>
          <w:sz w:val="24"/>
        </w:rPr>
        <w:t xml:space="preserve">SINHORETTO, J.; BATITUCCI, E. Policiamento ostensivo e desigualdades em São Paulo e Minas Gerais.</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Caderno CRH</w:t>
      </w:r>
      <w:r>
        <w:rPr>
          <w:rFonts w:ascii="Times New Roman" w:hAnsi="Times New Roman" w:eastAsia="Times New Roman" w:cs="Times New Roman"/>
          <w:sz w:val="24"/>
        </w:rPr>
        <w:t xml:space="preserve">, Salvador, v. 36, p. 1-16, 2023. DOI: 10.9771/ccrh.v36i0.42433.</w:t>
      </w:r>
    </w:p>
    <w:p>
      <w:pPr>
        <w:pStyle w:val="BodyText"/>
        <w:spacing w:line="240" w:lineRule="auto" w:before="0" w:after="240"/>
        <w:jc w:val="left"/>
      </w:pPr>
      <w:r>
        <w:rPr>
          <w:rFonts w:ascii="Times New Roman" w:hAnsi="Times New Roman" w:eastAsia="Times New Roman" w:cs="Times New Roman"/>
          <w:sz w:val="24"/>
        </w:rPr>
        <w:t xml:space="preserve">SKOLNICK, J. H.; BAYLEY, D. H.</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Policiamento comunitário</w:t>
      </w:r>
      <w:r>
        <w:rPr>
          <w:rFonts w:ascii="Times New Roman" w:hAnsi="Times New Roman" w:eastAsia="Times New Roman" w:cs="Times New Roman"/>
          <w:sz w:val="24"/>
        </w:rPr>
        <w:t xml:space="preserve">: questões e práticas através do mundo. São Paulo: Edusp, 2002.</w:t>
      </w:r>
    </w:p>
    <w:p>
      <w:pPr>
        <w:pStyle w:val="BodyText"/>
        <w:spacing w:line="240" w:lineRule="auto" w:before="0" w:after="240"/>
        <w:jc w:val="left"/>
      </w:pPr>
      <w:r>
        <w:rPr>
          <w:rFonts w:ascii="Times New Roman" w:hAnsi="Times New Roman" w:eastAsia="Times New Roman" w:cs="Times New Roman"/>
          <w:sz w:val="24"/>
        </w:rPr>
        <w:t xml:space="preserve">SOUZA, L. M. F.; FERREIRA, G. L.; SANTOS, M. C. R. C. F. Direito e meritocracia contra as cotas raciais: reajustes do dispositivo da branquitude.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Revista Eletrônica Espaço Acadêmico</w:t>
      </w:r>
      <w:r>
        <w:rPr>
          <w:rFonts w:ascii="Times New Roman" w:hAnsi="Times New Roman" w:eastAsia="Times New Roman" w:cs="Times New Roman"/>
          <w:sz w:val="24"/>
        </w:rPr>
        <w:t xml:space="preserve">, v. 1, p. 35-45, 2021.</w:t>
      </w:r>
    </w:p>
    <w:p>
      <w:pPr>
        <w:pStyle w:val="BodyText"/>
        <w:spacing w:line="240" w:lineRule="auto" w:before="0" w:after="240"/>
        <w:jc w:val="left"/>
      </w:pPr>
      <w:r>
        <w:rPr>
          <w:rFonts w:ascii="Times New Roman" w:hAnsi="Times New Roman" w:eastAsia="Times New Roman" w:cs="Times New Roman"/>
          <w:sz w:val="24"/>
        </w:rPr>
        <w:t xml:space="preserve">SUNSHINE, J.; TYLER, T. R. The role of procedural justice and legitimacy in shaping public support for policing.</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Law &amp; Society Review</w:t>
      </w:r>
      <w:r>
        <w:rPr>
          <w:rFonts w:ascii="Times New Roman" w:hAnsi="Times New Roman" w:eastAsia="Times New Roman" w:cs="Times New Roman"/>
          <w:sz w:val="24"/>
        </w:rPr>
        <w:t xml:space="preserve">, v. 37, n. 3, p. 513-548, 2003.</w:t>
      </w:r>
    </w:p>
    <w:p>
      <w:pPr>
        <w:pStyle w:val="BodyText"/>
        <w:spacing w:line="240" w:lineRule="auto" w:before="0" w:after="240"/>
        <w:jc w:val="left"/>
      </w:pPr>
      <w:r>
        <w:rPr>
          <w:rFonts w:ascii="Times New Roman" w:hAnsi="Times New Roman" w:eastAsia="Times New Roman" w:cs="Times New Roman"/>
          <w:sz w:val="24"/>
        </w:rPr>
        <w:t xml:space="preserve">TYLER, T. R.</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Why people obey the law</w:t>
      </w:r>
      <w:r>
        <w:rPr>
          <w:rFonts w:ascii="Times New Roman" w:hAnsi="Times New Roman" w:eastAsia="Times New Roman" w:cs="Times New Roman"/>
          <w:sz w:val="24"/>
        </w:rPr>
        <w:t xml:space="preserve">. Princeton: Princeton University Press, 2006.</w:t>
      </w:r>
    </w:p>
    <w:p>
      <w:pPr>
        <w:pStyle w:val="BodyText"/>
        <w:spacing w:line="240" w:lineRule="auto" w:before="0" w:after="240"/>
        <w:jc w:val="left"/>
      </w:pPr>
      <w:r>
        <w:rPr>
          <w:rFonts w:ascii="Times New Roman" w:hAnsi="Times New Roman" w:eastAsia="Times New Roman" w:cs="Times New Roman"/>
          <w:sz w:val="24"/>
        </w:rPr>
        <w:t xml:space="preserve">WEBER, M.</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Economia e sociedade</w:t>
      </w:r>
      <w:r>
        <w:rPr>
          <w:rFonts w:ascii="Times New Roman" w:hAnsi="Times New Roman" w:eastAsia="Times New Roman" w:cs="Times New Roman"/>
          <w:sz w:val="24"/>
        </w:rPr>
        <w:t xml:space="preserve">: fundamentos da sociologia compreensiva. Brasília: Editora UnB, 2004. v. 2.</w:t>
      </w:r>
    </w:p>
    <w:p>
      <w:pPr>
        <w:pStyle w:val="BodyText"/>
        <w:spacing w:line="240" w:lineRule="auto" w:before="0" w:after="240"/>
        <w:jc w:val="left"/>
      </w:pPr>
      <w:r>
        <w:rPr>
          <w:rFonts w:ascii="Times New Roman" w:hAnsi="Times New Roman" w:eastAsia="Times New Roman" w:cs="Times New Roman"/>
          <w:sz w:val="24"/>
        </w:rPr>
        <w:t xml:space="preserve">ZANETIC, A.; MANSO, B. P.; NATAL, A. L.; OLIVEIRA, T. R. Legitimidade da polícia: segurança pública para além da dissuasão.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Civitas</w:t>
      </w:r>
      <w:r>
        <w:rPr>
          <w:rFonts w:ascii="Times New Roman" w:hAnsi="Times New Roman" w:eastAsia="Times New Roman" w:cs="Times New Roman"/>
          <w:sz w:val="24"/>
        </w:rPr>
        <w:t xml:space="preserve">, Porto Alegre, v. 16, n. 4, p. 148-173, out./dez. 2016.</w:t>
      </w:r>
    </w:p>
    <w:bookmarkEnd w:id="26"/>
    <w:bookmarkStart w:id="27" w:name="X1899a8583d36aac617b70b32311b7d883b725c1"/>
    <w:p>
      <w:pPr>
        <w:pStyle w:val="Heading2"/>
        <w:spacing w:line="360" w:lineRule="auto" w:before="240" w:after="120"/>
      </w:pPr>
      <w:r>
        <w:rPr>
          <w:rFonts w:ascii="Times New Roman" w:hAnsi="Times New Roman" w:eastAsia="Times New Roman" w:cs="Times New Roman"/>
          <w:b/>
          <w:i w:val="0"/>
          <w:sz w:val="24"/>
        </w:rPr>
        <w:t xml:space="preserve">DECLARAÇÃO SOBRE O USO DE INTELIGÊNCIA ARTIFICIAL GENERATIVA</w:t>
      </w:r>
    </w:p>
    <w:p>
      <w:pPr>
        <w:pStyle w:val="FirstParagraph"/>
        <w:spacing w:line="360" w:lineRule="auto" w:before="0" w:after="120"/>
        <w:ind w:firstLine="709"/>
        <w:jc w:val="both"/>
      </w:pPr>
      <w:r>
        <w:rPr>
          <w:rFonts w:ascii="Times New Roman" w:hAnsi="Times New Roman" w:eastAsia="Times New Roman" w:cs="Times New Roman"/>
          <w:sz w:val="24"/>
        </w:rPr>
        <w:t xml:space="preserve">Declara-se que, na elaboração deste anteprojeto, foi utilizada ferramenta de inteligência artificial generativa (Claude, Anthropic) como apoio à organização da estrutura, ao levantamento bibliográfico e de dados secundários e à revisão textual. Todo o conteúdo foi revisado, validado e reescrito pelo candidato, que assume integralmente a autoria e a responsabilidade pelo texto, conforme o item 5.2.3 do edital.</w:t>
      </w:r>
    </w:p>
    <w:bookmarkEnd w:id="27"/>
    <w:bookmarkEnd w:id="28"/>
    <w:sectPr>
      <w:pgSz w:h="16838" w:w="11906"/>
      <w:pgMar w:top="1417" w:bottom="141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Fonte">
    <w:name w:val="Fonte"/>
    <w:basedOn w:val="BodyText"/>
    <w:qFormat/>
    <w:rPr>
      <w:rFonts w:ascii="Times New Roman" w:hAnsi="Times New Roman"/>
    </w:rPr>
  </w:style>
  <w:style w:type="paragraph" w:customStyle="1" w:styleId="Legenda">
    <w:name w:val="Legenda"/>
    <w:basedOn w:val="BodyText"/>
    <w:qFormat/>
    <w:rPr>
      <w:rFonts w:ascii="Times New Roman" w:hAnsi="Times New Roman"/>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2026-10-21T16:30:10Z</dcterms:created>
  <dcterms:modified xsi:type="dcterms:W3CDTF">2026-10-21T16:30:10Z</dcterms:modified>
  <cp:lastModifiedBy/>
</cp:coreProperties>
</file>

<file path=docProps/custom.xml><?xml version="1.0" encoding="utf-8"?>
<Properties xmlns="http://schemas.openxmlformats.org/officeDocument/2006/custom-properties" xmlns:vt="http://schemas.openxmlformats.org/officeDocument/2006/docPropsVTypes"/>
</file>