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anteprojeto-de-pesquisa-doutorado"/>
    <w:p>
      <w:pPr>
        <w:pStyle w:val="Heading1"/>
        <w:spacing w:line="360" w:lineRule="auto" w:before="240" w:after="120"/>
        <w:jc w:val="center"/>
      </w:pPr>
      <w:r>
        <w:rPr>
          <w:rFonts w:ascii="Times New Roman" w:hAnsi="Times New Roman" w:eastAsia="Times New Roman" w:cs="Times New Roman"/>
          <w:b/>
          <w:i w:val="0"/>
          <w:sz w:val="24"/>
        </w:rPr>
        <w:t xml:space="preserve">ANTEPROJETO DE PESQUISA – DOUTORADO</w:t>
      </w:r>
    </w:p>
    <w:p>
      <w:pPr>
        <w:pStyle w:val="FirstParagraph"/>
        <w:spacing w:line="360" w:lineRule="auto" w:before="0" w:after="120"/>
        <w:ind w:firstLine="709"/>
        <w:jc w:val="both"/>
      </w:pPr>
      <w:r>
        <w:rPr>
          <w:bCs/>
          <w:rFonts w:ascii="Times New Roman" w:hAnsi="Times New Roman" w:eastAsia="Times New Roman" w:cs="Times New Roman"/>
          <w:b/>
          <w:sz w:val="24"/>
        </w:rPr>
        <w:t xml:space="preserve">Título:</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Quem controla a polícia de proximidade? Controle democrático, accountability e legitimidade do policiamento comunitário no Extremo Sul da Bahia</w:t>
      </w:r>
    </w:p>
    <w:p>
      <w:pPr>
        <w:pStyle w:val="BodyText"/>
        <w:spacing w:line="360" w:lineRule="auto" w:before="0" w:after="120"/>
        <w:ind w:firstLine="709"/>
        <w:jc w:val="both"/>
      </w:pPr>
      <w:r>
        <w:rPr>
          <w:bCs/>
          <w:rFonts w:ascii="Times New Roman" w:hAnsi="Times New Roman" w:eastAsia="Times New Roman" w:cs="Times New Roman"/>
          <w:b/>
          <w:sz w:val="24"/>
        </w:rPr>
        <w:t xml:space="preserve">Linha de pesquisa: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Linha 1 – Estado, instituições e governança</w:t>
      </w:r>
    </w:p>
    <w:p>
      <w:pPr>
        <w:pStyle w:val="BodyText"/>
        <w:spacing w:line="360" w:lineRule="auto" w:before="0" w:after="120"/>
        <w:ind w:firstLine="709"/>
        <w:jc w:val="both"/>
      </w:pPr>
      <w:r>
        <w:rPr>
          <w:bCs/>
          <w:rFonts w:ascii="Times New Roman" w:hAnsi="Times New Roman" w:eastAsia="Times New Roman" w:cs="Times New Roman"/>
          <w:b/>
          <w:sz w:val="24"/>
        </w:rPr>
        <w:t xml:space="preserve">Opções de orientação, por ordem de preferência:</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1ª Profa. Maria do Carmo Rebouças da Cruz Ferreira dos Santos; 2ª Profa. Carolina Bessa Ferreira de Oliveira</w:t>
      </w:r>
    </w:p>
    <w:bookmarkStart w:id="20" w:name="introdução-e-justificativa"/>
    <w:p>
      <w:pPr>
        <w:pStyle w:val="Heading2"/>
        <w:spacing w:line="360" w:lineRule="auto" w:before="240" w:after="120"/>
      </w:pPr>
      <w:r>
        <w:rPr>
          <w:rFonts w:ascii="Times New Roman" w:hAnsi="Times New Roman" w:eastAsia="Times New Roman" w:cs="Times New Roman"/>
          <w:b/>
          <w:i w:val="0"/>
          <w:sz w:val="24"/>
        </w:rPr>
        <w:t xml:space="preserve">1 INTRODUÇÃO E JUSTIFICATIVA</w:t>
      </w:r>
    </w:p>
    <w:p>
      <w:pPr>
        <w:pStyle w:val="FirstParagraph"/>
        <w:spacing w:line="360" w:lineRule="auto" w:before="0" w:after="120"/>
        <w:ind w:firstLine="709"/>
        <w:jc w:val="both"/>
      </w:pPr>
      <w:r>
        <w:rPr>
          <w:rFonts w:ascii="Times New Roman" w:hAnsi="Times New Roman" w:eastAsia="Times New Roman" w:cs="Times New Roman"/>
          <w:sz w:val="24"/>
        </w:rPr>
        <w:t xml:space="preserve">O policiamento comunitário chegou ao Brasil com uma promessa ambiciosa: aproximar a polícia da população e transformar a segurança pública numa tarefa compartilhada, voltada à prevenção e à redução do medo do crime. Na Bahia, essa promessa ganhou forma institucional nas Bases Comunitárias de Segurança, integradas ao Programa Pacto pela Vida. Passada mais de uma década de sua implantação, porém, permanece em aberto uma questão de fundo: quem controla essa polícia de proximidade, e com que efeitos sobre a sua legitimidade?</w:t>
      </w:r>
    </w:p>
    <w:p>
      <w:pPr>
        <w:pStyle w:val="BodyText"/>
        <w:spacing w:line="360" w:lineRule="auto" w:before="0" w:after="120"/>
        <w:ind w:firstLine="709"/>
        <w:jc w:val="both"/>
      </w:pPr>
      <w:r>
        <w:rPr>
          <w:rFonts w:ascii="Times New Roman" w:hAnsi="Times New Roman" w:eastAsia="Times New Roman" w:cs="Times New Roman"/>
          <w:sz w:val="24"/>
        </w:rPr>
        <w:t xml:space="preserve">Ocorre que, na prática, a gestão desses programas apoia-se sobretudo em metas quantitativas, como a redução dos Crimes Violentos Letais e Intencionais (CVLI) e dos Crimes Violentos contra o Patrimônio (CVP), em registros de produtividade e em premiações por desempenho. Em outras palavras, tais instrumentos dizem muito sobre o que a polícia faz, mas pouco sobre como ela trata as pessoas com quem interage. Esse descompasso torna-se ainda mais grave quando se observa que a Bahia figura, nos últimos anos, entre os estados com maior número de mortes decorrentes de intervenção policial: somente em 2024, foram 1.556 vítimas, o equivalente a cerca de quatro mortes por dia (FÓRUM BRASILEIRO DE SEGURANÇA PÚBLICA, 2025). A distância entre a retórica comunitária e os mecanismos efetivos de controle é, portanto, o ponto de partida desta proposta.</w:t>
      </w:r>
    </w:p>
    <w:p>
      <w:pPr>
        <w:pStyle w:val="BodyText"/>
        <w:spacing w:line="360" w:lineRule="auto" w:before="0" w:after="120"/>
        <w:ind w:firstLine="709"/>
        <w:jc w:val="both"/>
      </w:pPr>
      <w:r>
        <w:rPr>
          <w:rFonts w:ascii="Times New Roman" w:hAnsi="Times New Roman" w:eastAsia="Times New Roman" w:cs="Times New Roman"/>
          <w:sz w:val="24"/>
        </w:rPr>
        <w:t xml:space="preserve">Nessa direção, dissertação de mestrado profissional desenvolvida pelo proponente sobre indicadores de desempenho na Polícia Militar da Bahia (SOUSA, 2024) mostrou que nenhum dos instrumentos de controle analisados — corregedoria, Ministério Público, ouvidoria, conselhos comunitários e imprensa — atende plenamente às demandas da atividade policial, sobretudo quando atuam de forma isolada e desarticulada, e que faltam mecanismos de natureza preventiva e ética, e não apenas punitiva. Aquele trabalho, contudo, restringiu-se à análise bibliográfica e documental em escala estadual, sem ouvir os atores envolvidos. Assim, ficou por investigar como esses controles funcionam no território e como são percebidos pela população policiada, lacuna que a presente tese pretende enfrentar.</w:t>
      </w:r>
    </w:p>
    <w:p>
      <w:pPr>
        <w:pStyle w:val="BodyText"/>
        <w:spacing w:line="360" w:lineRule="auto" w:before="0" w:after="120"/>
        <w:ind w:firstLine="709"/>
        <w:jc w:val="both"/>
      </w:pPr>
      <w:r>
        <w:rPr>
          <w:rFonts w:ascii="Times New Roman" w:hAnsi="Times New Roman" w:eastAsia="Times New Roman" w:cs="Times New Roman"/>
          <w:sz w:val="24"/>
        </w:rPr>
        <w:t xml:space="preserve">Diante disso, formula-se a seguinte questão de pesquisa: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como os mecanismos de controle interno, externo e social que incidem sobre o policiamento comunitário no Extremo Sul da Bahia se articulam, e em que medida contribuem para a legitimidade democrática da polícia perante as comunidades atendidas?</w:t>
      </w:r>
    </w:p>
    <w:p>
      <w:pPr>
        <w:pStyle w:val="BodyText"/>
        <w:spacing w:line="360" w:lineRule="auto" w:before="0" w:after="120"/>
        <w:ind w:firstLine="709"/>
        <w:jc w:val="both"/>
      </w:pPr>
      <w:r>
        <w:rPr>
          <w:rFonts w:ascii="Times New Roman" w:hAnsi="Times New Roman" w:eastAsia="Times New Roman" w:cs="Times New Roman"/>
          <w:sz w:val="24"/>
        </w:rPr>
        <w:t xml:space="preserve">Do ponto de vista científico, o estudo desloca o debate da eficácia gerencial — a polícia entrega resultados? — para o problema da legitimação do poder — a polícia é reconhecida como justa e passível de controle? Para tanto, articula a teoria da legitimidade procedimental à literatura brasileira sobre controle da atividade policial. Além disso, sua originalidade reside em tratar o controle como sistema. A literatura brasileira tem examinado essas instâncias separadamente — as ouvidorias e corregedorias (LEMGRUBER; MUSUMECI; CANO, 2003), o Ministério Público (PEDROSA JÚNIOR; MONTEIRO; NASCIMENTO, 2023), os conselhos comunitários (BUENO; LIMA; TEIXEIRA, 2016) e o controle disciplinar interno (ARAÚJO; OLIVEIRA; SAMPAIO, 2025) —, ao passo que esta pesquisa as examina em conjunto. A proposta também se diferencia por fazê-lo numa região interiorana, marcada pelo turismo e pela presença de povos indígenas, comunidades quilombolas e periferias urbanas, contexto pouco contemplado por uma produção concentrada nas capitais.</w:t>
      </w:r>
    </w:p>
    <w:p>
      <w:pPr>
        <w:pStyle w:val="BodyText"/>
        <w:spacing w:line="360" w:lineRule="auto" w:before="0" w:after="120"/>
        <w:ind w:firstLine="709"/>
        <w:jc w:val="both"/>
      </w:pPr>
      <w:r>
        <w:rPr>
          <w:rFonts w:ascii="Times New Roman" w:hAnsi="Times New Roman" w:eastAsia="Times New Roman" w:cs="Times New Roman"/>
          <w:sz w:val="24"/>
        </w:rPr>
        <w:t xml:space="preserve">Na dimensão social, a segurança pública constitui questão prioritária para a qualidade de vida no Sul da Bahia. Espera-se que a pesquisa ofereça subsídios para a construção de indicadores de qualidade e de confiança que complementem os de produtividade, bem como para o fortalecimento do controle social em âmbito local.</w:t>
      </w:r>
    </w:p>
    <w:p>
      <w:pPr>
        <w:pStyle w:val="BodyText"/>
        <w:spacing w:line="360" w:lineRule="auto" w:before="0" w:after="120"/>
        <w:ind w:firstLine="709"/>
        <w:jc w:val="both"/>
      </w:pPr>
      <w:r>
        <w:rPr>
          <w:rFonts w:ascii="Times New Roman" w:hAnsi="Times New Roman" w:eastAsia="Times New Roman" w:cs="Times New Roman"/>
          <w:sz w:val="24"/>
        </w:rPr>
        <w:t xml:space="preserve">Por essas razões, a proposta insere-se na Linha 1 do PPGES porque toma o Estado como conjunto heterogêneo de instituições e se debruça sobre as dinâmicas do exercício do poder, os processos de legitimação, a relação entre Estado e sociedade civil e as instâncias de controle e fiscalização de programas de governo, eixos que compõem a própria descrição da linha.</w:t>
      </w:r>
    </w:p>
    <w:bookmarkEnd w:id="20"/>
    <w:bookmarkStart w:id="21" w:name="objetivos-e-hipótese"/>
    <w:p>
      <w:pPr>
        <w:pStyle w:val="Heading2"/>
        <w:spacing w:line="360" w:lineRule="auto" w:before="240" w:after="120"/>
      </w:pPr>
      <w:r>
        <w:rPr>
          <w:rFonts w:ascii="Times New Roman" w:hAnsi="Times New Roman" w:eastAsia="Times New Roman" w:cs="Times New Roman"/>
          <w:b/>
          <w:i w:val="0"/>
          <w:sz w:val="24"/>
        </w:rPr>
        <w:t xml:space="preserve">2 OBJETIVOS E HIPÓTESE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Objetivo geral: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analisar como os mecanismos de controle interno, externo e social do policiamento comunitário no Extremo Sul da Bahia se articulam e em que medida contribuem para a legitimidade democrática da polícia perante as comunidades atendidas.</w:t>
      </w:r>
    </w:p>
    <w:p>
      <w:pPr>
        <w:pStyle w:val="BodyText"/>
        <w:spacing w:line="360" w:lineRule="auto" w:before="0" w:after="120"/>
        <w:ind w:firstLine="709"/>
        <w:jc w:val="both"/>
      </w:pPr>
      <w:r>
        <w:rPr>
          <w:bCs/>
          <w:rFonts w:ascii="Times New Roman" w:hAnsi="Times New Roman" w:eastAsia="Times New Roman" w:cs="Times New Roman"/>
          <w:b/>
          <w:sz w:val="24"/>
        </w:rPr>
        <w:t xml:space="preserve">Objetivos específicos: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mapear as instâncias de controle que incidem sobre o policiamento comunitário na região — Corregedoria da Polícia Militar, Ministério Público, Ouvidoria, conselhos comunitários de segurança e imprensa local —, identificando suas atribuições, fluxos e capacidades;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examinar de que modo os indicadores e as metas do Pacto pela Vida orientam a atuação das unidades comunitárias e quais dimensões da atividade policial deixam de ser mensuradas;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compreender as percepções de policiais, gestores e moradores acerca da justiça procedimental, da confiança e da possibilidade de controle da polícia;</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verificar se essas percepções variam conforme raça, território e pertencimento a povos e comunidades tradicionais;</w:t>
      </w:r>
    </w:p>
    <w:p>
      <w:pPr>
        <w:numPr>
          <w:ilvl w:val="0"/>
          <w:numId w:val="1001"/>
        </w:numPr>
        <w:spacing w:line="360" w:lineRule="auto" w:before="0" w:after="120"/>
        <w:ind w:firstLine="709"/>
        <w:jc w:val="both"/>
      </w:pPr>
      <w:r>
        <w:rPr>
          <w:rFonts w:ascii="Times New Roman" w:hAnsi="Times New Roman" w:eastAsia="Times New Roman" w:cs="Times New Roman"/>
          <w:sz w:val="24"/>
        </w:rPr>
        <w:t xml:space="preserve">propor, em diálogo com os atores locais, uma matriz de indicadores de qualidade e de legitimidade complementar aos indicadores de produtividade.</w:t>
      </w:r>
    </w:p>
    <w:p>
      <w:pPr>
        <w:pStyle w:val="FirstParagraph"/>
        <w:spacing w:line="360" w:lineRule="auto" w:before="0" w:after="120"/>
        <w:ind w:firstLine="709"/>
        <w:jc w:val="both"/>
      </w:pPr>
      <w:r>
        <w:rPr>
          <w:bCs/>
          <w:rFonts w:ascii="Times New Roman" w:hAnsi="Times New Roman" w:eastAsia="Times New Roman" w:cs="Times New Roman"/>
          <w:b/>
          <w:sz w:val="24"/>
        </w:rPr>
        <w:t xml:space="preserve">Hipótese: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em continuidade aos achados de Sousa (2024), os controles existentes operam de maneira fragmentada e predominantemente reativa e punitiva, o que produz conformidade com metas, mas pouca legitimidade. Mecanismos articulados entre si e abertos à participação comunitária tenderiam a ampliar a confiança na polícia e a percepção de justiça procedimental.</w:t>
      </w:r>
    </w:p>
    <w:bookmarkEnd w:id="21"/>
    <w:bookmarkStart w:id="22" w:name="Xb5a9652102d8f3f8c1b007820e588b37874084c"/>
    <w:p>
      <w:pPr>
        <w:pStyle w:val="Heading2"/>
        <w:spacing w:line="360" w:lineRule="auto" w:before="240" w:after="120"/>
      </w:pPr>
      <w:r>
        <w:rPr>
          <w:rFonts w:ascii="Times New Roman" w:hAnsi="Times New Roman" w:eastAsia="Times New Roman" w:cs="Times New Roman"/>
          <w:b/>
          <w:i w:val="0"/>
          <w:sz w:val="24"/>
        </w:rPr>
        <w:t xml:space="preserve">3 FUNDAMENTAÇÃO TEÓRICA E REVISÃO DE LITERATURA</w:t>
      </w:r>
    </w:p>
    <w:p>
      <w:pPr>
        <w:pStyle w:val="FirstParagraph"/>
        <w:spacing w:line="360" w:lineRule="auto" w:before="0" w:after="120"/>
        <w:ind w:firstLine="709"/>
        <w:jc w:val="both"/>
      </w:pPr>
      <w:r>
        <w:rPr>
          <w:rFonts w:ascii="Times New Roman" w:hAnsi="Times New Roman" w:eastAsia="Times New Roman" w:cs="Times New Roman"/>
          <w:sz w:val="24"/>
        </w:rPr>
        <w:t xml:space="preserve">O referencial organiza-se em três eixos complementares: o Estado e a legitimação do poder; o controle democrático da polícia; e o policiamento comunitário diante da gestão por resultados.</w:t>
      </w:r>
    </w:p>
    <w:p>
      <w:pPr>
        <w:pStyle w:val="BodyText"/>
        <w:spacing w:line="360" w:lineRule="auto" w:before="0" w:after="120"/>
        <w:ind w:firstLine="709"/>
        <w:jc w:val="both"/>
      </w:pPr>
      <w:r>
        <w:rPr>
          <w:rFonts w:ascii="Times New Roman" w:hAnsi="Times New Roman" w:eastAsia="Times New Roman" w:cs="Times New Roman"/>
          <w:sz w:val="24"/>
        </w:rPr>
        <w:t xml:space="preserve">No primeiro eixo, parte-se da definição weberiana do Estado como detentor do monopólio legítimo da força física (WEBER, 2004), o que faz da polícia a expressão mais visível desse poder no cotidiano. Nessa linha, Beetham (1991) acrescenta que a legitimidade não se esgota na legalidade: ela depende também de crenças compartilhadas e do consentimento expresso dos governados. A teoria da justiça procedimental aprofunda esse argumento ao demonstrar que as pessoas cooperam com a polícia e obedecem à lei sobretudo quando se sentem tratadas com respeito e imparcialidade, e não apenas quando percebem a polícia como eficaz (SUNSHINE; TYLER, 2003; TYLER, 2006). No Brasil, por sua vez, essa perspectiva foi incorporada ao debate sobre reforma policial por Zanetic et al. (2016) e operacionalizada empiricamente por Oliveira, Oliveira e Adorno (2019), que propuseram um modelo de mensuração da legitimidade policial em São Paulo.</w:t>
      </w:r>
    </w:p>
    <w:p>
      <w:pPr>
        <w:pStyle w:val="BodyText"/>
        <w:spacing w:line="360" w:lineRule="auto" w:before="0" w:after="120"/>
        <w:ind w:firstLine="709"/>
        <w:jc w:val="both"/>
      </w:pPr>
      <w:r>
        <w:rPr>
          <w:rFonts w:ascii="Times New Roman" w:hAnsi="Times New Roman" w:eastAsia="Times New Roman" w:cs="Times New Roman"/>
          <w:sz w:val="24"/>
        </w:rPr>
        <w:t xml:space="preserve">No segundo eixo, Bayley (2001) e Skolnick e Bayley (2002) situam a prestação de contas como condição do policiamento democrático. No caso brasileiro, Lemgruber, Musumeci e Cano (2003) evidenciaram os limites de ouvidorias e corregedorias, enquanto Costa (2004) analisou os padrões de controle externo das polícias. Embora a Constituição de 1988 atribua ao Ministério Público o controle externo da atividade policial (art. 129, VII), sua efetividade segue limitada. Nesse sentido, ao examinar as diretrizes do Conselho Nacional do Ministério Público voltadas à redução da letalidade policial, Pedrosa Júnior, Monteiro e Nascimento (2023) concluíram que o arranjo institucional complexo, os interesses corporativos e a atuação deficiente de parte dos membros do órgão comprometeram sua execução. Já no plano interno, Araújo, Oliveira e Sampaio (2025) revisaram a produção sobre controle disciplinar nas polícias militares e constataram que ela se concentra em dissertações e apresenta fragilidades metodológicas, o que reforça a necessidade de estudos empíricos sobre o tema.</w:t>
      </w:r>
    </w:p>
    <w:p>
      <w:pPr>
        <w:pStyle w:val="BodyText"/>
        <w:spacing w:line="360" w:lineRule="auto" w:before="0" w:after="120"/>
        <w:ind w:firstLine="709"/>
        <w:jc w:val="both"/>
      </w:pPr>
      <w:r>
        <w:rPr>
          <w:rFonts w:ascii="Times New Roman" w:hAnsi="Times New Roman" w:eastAsia="Times New Roman" w:cs="Times New Roman"/>
          <w:sz w:val="24"/>
        </w:rPr>
        <w:t xml:space="preserve">No terceiro eixo, Sapori (2007) discute a adoção da gestão por resultados na segurança pública brasileira, e Santos e Gomes (2021), em revisão sistemática, mostram que não há metodologia única para avaliar o desempenho policial, devendo a mensuração corresponder aos objetivos de cada organização. Complementarmente, Lui e Sales (2024) mapeiam a agenda do policiamento baseado em evidências. Quanto ao policiamento comunitário, Muniz e Paes-Machado (2010) problematizam as experiências baianas, e Ferreira, Rossoni e Oliveira (2022) demonstram que esse modelo, incluindo as Bases Comunitárias da Bahia, é atravessado por quatro lógicas institucionais — militar, profissional, gerencial e comunitária —, cuja tensão ajuda a explicar por que as metas gerenciais frequentemente se sobrepõem à proximidade. A participação social, ademais, encontra limites na própria cultura policial: ao estudar os conselhos comunitários de segurança paulistas, Bueno, Lima e Teixeira (2016) mostram que o cidadão tende a ser tratado mais como demandante do que como sujeito da política.</w:t>
      </w:r>
    </w:p>
    <w:p>
      <w:pPr>
        <w:pStyle w:val="BodyText"/>
        <w:spacing w:line="360" w:lineRule="auto" w:before="0" w:after="120"/>
        <w:ind w:firstLine="709"/>
        <w:jc w:val="both"/>
      </w:pPr>
      <w:r>
        <w:rPr>
          <w:rFonts w:ascii="Times New Roman" w:hAnsi="Times New Roman" w:eastAsia="Times New Roman" w:cs="Times New Roman"/>
          <w:sz w:val="24"/>
        </w:rPr>
        <w:t xml:space="preserve">Cabe destacar, ainda, que a confiança na polícia, variável central para esta pesquisa, mostra-se baixa no país, mas sensível ao contexto: Rolim e Hermann (2018) verificaram, em Porto Alegre, níveis de confiança inferiores aos observados em cidades menores. Tal achado justifica, por conseguinte, investigar um contexto interiorano como o do Extremo Sul baiano. Por fim, a noção de pluralismo jurídico, presente na descrição da Linha 1, oferece chave analítica para a relação entre a polícia e os povos indígenas e comunidades tradicionais da região.</w:t>
      </w:r>
    </w:p>
    <w:bookmarkEnd w:id="22"/>
    <w:bookmarkStart w:id="23" w:name="metodologia"/>
    <w:p>
      <w:pPr>
        <w:pStyle w:val="Heading2"/>
        <w:spacing w:line="360" w:lineRule="auto" w:before="240" w:after="120"/>
      </w:pPr>
      <w:r>
        <w:rPr>
          <w:rFonts w:ascii="Times New Roman" w:hAnsi="Times New Roman" w:eastAsia="Times New Roman" w:cs="Times New Roman"/>
          <w:b/>
          <w:i w:val="0"/>
          <w:sz w:val="24"/>
        </w:rPr>
        <w:t xml:space="preserve">4 METODOLOGIA</w:t>
      </w:r>
    </w:p>
    <w:p>
      <w:pPr>
        <w:pStyle w:val="FirstParagraph"/>
        <w:spacing w:line="360" w:lineRule="auto" w:before="0" w:after="120"/>
        <w:ind w:firstLine="709"/>
        <w:jc w:val="both"/>
      </w:pPr>
      <w:r>
        <w:rPr>
          <w:rFonts w:ascii="Times New Roman" w:hAnsi="Times New Roman" w:eastAsia="Times New Roman" w:cs="Times New Roman"/>
          <w:sz w:val="24"/>
        </w:rPr>
        <w:t xml:space="preserve">Trata-se de pesquisa de abordagem qualitativa, com apoio quantitativo descritivo, delineada como estudo de casos múltiplos em dois ou três municípios do Extremo Sul da Bahia — a exemplo de Porto Seguro, Eunápolis e Teixeira de Freitas. A seleção definitiva considerará a existência de unidades de policiamento comunitário em funcionamento. O quadro a seguir relaciona cada objetivo específico às fontes, aos instrumentos e à forma de análise.</w:t>
      </w:r>
    </w:p>
    <w:tbl>
      <w:tblPr>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rFonts w:ascii="Times New Roman" w:hAnsi="Times New Roman" w:eastAsia="Times New Roman" w:cs="Times New Roman"/>
                <w:sz w:val="20"/>
              </w:rPr>
              <w:t xml:space="preserve">Objetivo</w:t>
            </w:r>
          </w:p>
        </w:tc>
        <w:tc>
          <w:tcPr/>
          <w:p>
            <w:pPr>
              <w:pStyle w:val="Compact"/>
              <w:spacing w:line="240" w:lineRule="auto"/>
              <w:jc w:val="left"/>
            </w:pPr>
            <w:r>
              <w:rPr>
                <w:rFonts w:ascii="Times New Roman" w:hAnsi="Times New Roman" w:eastAsia="Times New Roman" w:cs="Times New Roman"/>
                <w:sz w:val="20"/>
              </w:rPr>
              <w:t xml:space="preserve">Participantes e fontes</w:t>
            </w:r>
          </w:p>
        </w:tc>
        <w:tc>
          <w:tcPr/>
          <w:p>
            <w:pPr>
              <w:pStyle w:val="Compact"/>
              <w:spacing w:line="240" w:lineRule="auto"/>
              <w:jc w:val="left"/>
            </w:pPr>
            <w:r>
              <w:rPr>
                <w:rFonts w:ascii="Times New Roman" w:hAnsi="Times New Roman" w:eastAsia="Times New Roman" w:cs="Times New Roman"/>
                <w:sz w:val="20"/>
              </w:rPr>
              <w:t xml:space="preserve">Instrumento</w:t>
            </w:r>
          </w:p>
        </w:tc>
        <w:tc>
          <w:tcPr/>
          <w:p>
            <w:pPr>
              <w:pStyle w:val="Compact"/>
              <w:spacing w:line="240" w:lineRule="auto"/>
              <w:jc w:val="left"/>
            </w:pPr>
            <w:r>
              <w:rPr>
                <w:rFonts w:ascii="Times New Roman" w:hAnsi="Times New Roman" w:eastAsia="Times New Roman" w:cs="Times New Roman"/>
                <w:sz w:val="20"/>
              </w:rPr>
              <w:t xml:space="preserve">Análise</w:t>
            </w:r>
          </w:p>
        </w:tc>
      </w:tr>
      <w:tr>
        <w:tc>
          <w:tcPr/>
          <w:p>
            <w:pPr>
              <w:pStyle w:val="Compact"/>
              <w:spacing w:line="240" w:lineRule="auto"/>
              <w:jc w:val="left"/>
            </w:pPr>
            <w:r>
              <w:rPr>
                <w:rFonts w:ascii="Times New Roman" w:hAnsi="Times New Roman" w:eastAsia="Times New Roman" w:cs="Times New Roman"/>
                <w:sz w:val="20"/>
              </w:rPr>
              <w:t xml:space="preserve">a) Mapear as instâncias de controle</w:t>
            </w:r>
          </w:p>
        </w:tc>
        <w:tc>
          <w:tcPr/>
          <w:p>
            <w:pPr>
              <w:pStyle w:val="Compact"/>
              <w:spacing w:line="240" w:lineRule="auto"/>
              <w:jc w:val="left"/>
            </w:pPr>
            <w:r>
              <w:rPr>
                <w:rFonts w:ascii="Times New Roman" w:hAnsi="Times New Roman" w:eastAsia="Times New Roman" w:cs="Times New Roman"/>
                <w:sz w:val="20"/>
              </w:rPr>
              <w:t xml:space="preserve">Normas, relatórios da Corregedoria, do MP-BA e da Ouvidoria; atas de conselhos comunitários</w:t>
            </w:r>
          </w:p>
        </w:tc>
        <w:tc>
          <w:tcPr/>
          <w:p>
            <w:pPr>
              <w:pStyle w:val="Compact"/>
              <w:spacing w:line="240" w:lineRule="auto"/>
              <w:jc w:val="left"/>
            </w:pPr>
            <w:r>
              <w:rPr>
                <w:rFonts w:ascii="Times New Roman" w:hAnsi="Times New Roman" w:eastAsia="Times New Roman" w:cs="Times New Roman"/>
                <w:sz w:val="20"/>
              </w:rPr>
              <w:t xml:space="preserve">Pesquisa documental e pedidos via Lei de Acesso à Informação</w:t>
            </w:r>
          </w:p>
        </w:tc>
        <w:tc>
          <w:tcPr/>
          <w:p>
            <w:pPr>
              <w:pStyle w:val="Compact"/>
              <w:spacing w:line="240" w:lineRule="auto"/>
              <w:jc w:val="left"/>
            </w:pPr>
            <w:r>
              <w:rPr>
                <w:rFonts w:ascii="Times New Roman" w:hAnsi="Times New Roman" w:eastAsia="Times New Roman" w:cs="Times New Roman"/>
                <w:sz w:val="20"/>
              </w:rPr>
              <w:t xml:space="preserve">Análise documental e de fluxos institucionais</w:t>
            </w:r>
          </w:p>
        </w:tc>
      </w:tr>
      <w:tr>
        <w:tc>
          <w:tcPr/>
          <w:p>
            <w:pPr>
              <w:pStyle w:val="Compact"/>
              <w:spacing w:line="240" w:lineRule="auto"/>
              <w:jc w:val="left"/>
            </w:pPr>
            <w:r>
              <w:rPr>
                <w:rFonts w:ascii="Times New Roman" w:hAnsi="Times New Roman" w:eastAsia="Times New Roman" w:cs="Times New Roman"/>
                <w:sz w:val="20"/>
              </w:rPr>
              <w:t xml:space="preserve">b) Examinar os indicadores do Pacto pela Vida</w:t>
            </w:r>
          </w:p>
        </w:tc>
        <w:tc>
          <w:tcPr/>
          <w:p>
            <w:pPr>
              <w:pStyle w:val="Compact"/>
              <w:spacing w:line="240" w:lineRule="auto"/>
              <w:jc w:val="left"/>
            </w:pPr>
            <w:r>
              <w:rPr>
                <w:rFonts w:ascii="Times New Roman" w:hAnsi="Times New Roman" w:eastAsia="Times New Roman" w:cs="Times New Roman"/>
                <w:sz w:val="20"/>
              </w:rPr>
              <w:t xml:space="preserve">Bases de dados da SSP-BA e planos de metas</w:t>
            </w:r>
          </w:p>
        </w:tc>
        <w:tc>
          <w:tcPr/>
          <w:p>
            <w:pPr>
              <w:pStyle w:val="Compact"/>
              <w:spacing w:line="240" w:lineRule="auto"/>
              <w:jc w:val="left"/>
            </w:pPr>
            <w:r>
              <w:rPr>
                <w:rFonts w:ascii="Times New Roman" w:hAnsi="Times New Roman" w:eastAsia="Times New Roman" w:cs="Times New Roman"/>
                <w:sz w:val="20"/>
              </w:rPr>
              <w:t xml:space="preserve">Coleta de séries históricas (2015-2026)</w:t>
            </w:r>
          </w:p>
        </w:tc>
        <w:tc>
          <w:tcPr/>
          <w:p>
            <w:pPr>
              <w:pStyle w:val="Compact"/>
              <w:spacing w:line="240" w:lineRule="auto"/>
              <w:jc w:val="left"/>
            </w:pPr>
            <w:r>
              <w:rPr>
                <w:rFonts w:ascii="Times New Roman" w:hAnsi="Times New Roman" w:eastAsia="Times New Roman" w:cs="Times New Roman"/>
                <w:sz w:val="20"/>
              </w:rPr>
              <w:t xml:space="preserve">Estatística descritiva</w:t>
            </w:r>
          </w:p>
        </w:tc>
      </w:tr>
      <w:tr>
        <w:tc>
          <w:tcPr/>
          <w:p>
            <w:pPr>
              <w:pStyle w:val="Compact"/>
              <w:spacing w:line="240" w:lineRule="auto"/>
              <w:jc w:val="left"/>
            </w:pPr>
            <w:r>
              <w:rPr>
                <w:rFonts w:ascii="Times New Roman" w:hAnsi="Times New Roman" w:eastAsia="Times New Roman" w:cs="Times New Roman"/>
                <w:sz w:val="20"/>
              </w:rPr>
              <w:t xml:space="preserve">c) Compreender as percepções dos atores</w:t>
            </w:r>
          </w:p>
        </w:tc>
        <w:tc>
          <w:tcPr/>
          <w:p>
            <w:pPr>
              <w:pStyle w:val="Compact"/>
              <w:spacing w:line="240" w:lineRule="auto"/>
              <w:jc w:val="left"/>
            </w:pPr>
            <w:r>
              <w:rPr>
                <w:rFonts w:ascii="Times New Roman" w:hAnsi="Times New Roman" w:eastAsia="Times New Roman" w:cs="Times New Roman"/>
                <w:sz w:val="20"/>
              </w:rPr>
              <w:t xml:space="preserve">Cerca de 30 participantes: policiais, gestores, promotores de justiça, conselheiros e lideranças comunitárias</w:t>
            </w:r>
          </w:p>
        </w:tc>
        <w:tc>
          <w:tcPr/>
          <w:p>
            <w:pPr>
              <w:pStyle w:val="Compact"/>
              <w:spacing w:line="240" w:lineRule="auto"/>
              <w:jc w:val="left"/>
            </w:pPr>
            <w:r>
              <w:rPr>
                <w:rFonts w:ascii="Times New Roman" w:hAnsi="Times New Roman" w:eastAsia="Times New Roman" w:cs="Times New Roman"/>
                <w:sz w:val="20"/>
              </w:rPr>
              <w:t xml:space="preserve">Entrevistas semiestruturadas</w:t>
            </w:r>
          </w:p>
        </w:tc>
        <w:tc>
          <w:tcPr/>
          <w:p>
            <w:pPr>
              <w:pStyle w:val="Compact"/>
              <w:spacing w:line="240" w:lineRule="auto"/>
              <w:jc w:val="left"/>
            </w:pPr>
            <w:r>
              <w:rPr>
                <w:rFonts w:ascii="Times New Roman" w:hAnsi="Times New Roman" w:eastAsia="Times New Roman" w:cs="Times New Roman"/>
                <w:sz w:val="20"/>
              </w:rPr>
              <w:t xml:space="preserve">Análise de conteúdo (BARDIN, 2016)</w:t>
            </w:r>
          </w:p>
        </w:tc>
      </w:tr>
      <w:tr>
        <w:tc>
          <w:tcPr/>
          <w:p>
            <w:pPr>
              <w:pStyle w:val="Compact"/>
              <w:spacing w:line="240" w:lineRule="auto"/>
              <w:jc w:val="left"/>
            </w:pPr>
            <w:r>
              <w:rPr>
                <w:rFonts w:ascii="Times New Roman" w:hAnsi="Times New Roman" w:eastAsia="Times New Roman" w:cs="Times New Roman"/>
                <w:sz w:val="20"/>
              </w:rPr>
              <w:t xml:space="preserve">d) Verificar variações por raça e território</w:t>
            </w:r>
          </w:p>
        </w:tc>
        <w:tc>
          <w:tcPr/>
          <w:p>
            <w:pPr>
              <w:pStyle w:val="Compact"/>
              <w:spacing w:line="240" w:lineRule="auto"/>
              <w:jc w:val="left"/>
            </w:pPr>
            <w:r>
              <w:rPr>
                <w:rFonts w:ascii="Times New Roman" w:hAnsi="Times New Roman" w:eastAsia="Times New Roman" w:cs="Times New Roman"/>
                <w:sz w:val="20"/>
              </w:rPr>
              <w:t xml:space="preserve">Moradores de bairros periféricos, aldeias indígenas e comunidades quilombolas</w:t>
            </w:r>
          </w:p>
        </w:tc>
        <w:tc>
          <w:tcPr/>
          <w:p>
            <w:pPr>
              <w:pStyle w:val="Compact"/>
              <w:spacing w:line="240" w:lineRule="auto"/>
              <w:jc w:val="left"/>
            </w:pPr>
            <w:r>
              <w:rPr>
                <w:rFonts w:ascii="Times New Roman" w:hAnsi="Times New Roman" w:eastAsia="Times New Roman" w:cs="Times New Roman"/>
                <w:sz w:val="20"/>
              </w:rPr>
              <w:t xml:space="preserve">Grupos focais (de dois a quatro) e questionário breve sobre confiança</w:t>
            </w:r>
          </w:p>
        </w:tc>
        <w:tc>
          <w:tcPr/>
          <w:p>
            <w:pPr>
              <w:pStyle w:val="Compact"/>
              <w:spacing w:line="240" w:lineRule="auto"/>
              <w:jc w:val="left"/>
            </w:pPr>
            <w:r>
              <w:rPr>
                <w:rFonts w:ascii="Times New Roman" w:hAnsi="Times New Roman" w:eastAsia="Times New Roman" w:cs="Times New Roman"/>
                <w:sz w:val="20"/>
              </w:rPr>
              <w:t xml:space="preserve">Análise comparativa entre grupos</w:t>
            </w:r>
          </w:p>
        </w:tc>
      </w:tr>
      <w:tr>
        <w:tc>
          <w:tcPr/>
          <w:p>
            <w:pPr>
              <w:pStyle w:val="Compact"/>
              <w:spacing w:line="240" w:lineRule="auto"/>
              <w:jc w:val="left"/>
            </w:pPr>
            <w:r>
              <w:rPr>
                <w:rFonts w:ascii="Times New Roman" w:hAnsi="Times New Roman" w:eastAsia="Times New Roman" w:cs="Times New Roman"/>
                <w:sz w:val="20"/>
              </w:rPr>
              <w:t xml:space="preserve">e) Propor a matriz de indicadores</w:t>
            </w:r>
          </w:p>
        </w:tc>
        <w:tc>
          <w:tcPr/>
          <w:p>
            <w:pPr>
              <w:pStyle w:val="Compact"/>
              <w:spacing w:line="240" w:lineRule="auto"/>
              <w:jc w:val="left"/>
            </w:pPr>
            <w:r>
              <w:rPr>
                <w:rFonts w:ascii="Times New Roman" w:hAnsi="Times New Roman" w:eastAsia="Times New Roman" w:cs="Times New Roman"/>
                <w:sz w:val="20"/>
              </w:rPr>
              <w:t xml:space="preserve">Participantes das etapas anteriores</w:t>
            </w:r>
          </w:p>
        </w:tc>
        <w:tc>
          <w:tcPr/>
          <w:p>
            <w:pPr>
              <w:pStyle w:val="Compact"/>
              <w:spacing w:line="240" w:lineRule="auto"/>
              <w:jc w:val="left"/>
            </w:pPr>
            <w:r>
              <w:rPr>
                <w:rFonts w:ascii="Times New Roman" w:hAnsi="Times New Roman" w:eastAsia="Times New Roman" w:cs="Times New Roman"/>
                <w:sz w:val="20"/>
              </w:rPr>
              <w:t xml:space="preserve">Oficina devolutiva</w:t>
            </w:r>
          </w:p>
        </w:tc>
        <w:tc>
          <w:tcPr/>
          <w:p>
            <w:pPr>
              <w:pStyle w:val="Compact"/>
              <w:spacing w:line="240" w:lineRule="auto"/>
              <w:jc w:val="left"/>
            </w:pPr>
            <w:r>
              <w:rPr>
                <w:rFonts w:ascii="Times New Roman" w:hAnsi="Times New Roman" w:eastAsia="Times New Roman" w:cs="Times New Roman"/>
                <w:sz w:val="20"/>
              </w:rPr>
              <w:t xml:space="preserve">Síntese participativa</w:t>
            </w:r>
          </w:p>
        </w:tc>
      </w:tr>
    </w:tbl>
    <w:p>
      <w:pPr>
        <w:pStyle w:val="BodyText"/>
        <w:spacing w:line="360" w:lineRule="auto" w:before="0" w:after="120"/>
        <w:ind w:firstLine="709"/>
        <w:jc w:val="both"/>
      </w:pPr>
      <w:r>
        <w:rPr>
          <w:bCs/>
          <w:rFonts w:ascii="Times New Roman" w:hAnsi="Times New Roman" w:eastAsia="Times New Roman" w:cs="Times New Roman"/>
          <w:b/>
          <w:sz w:val="24"/>
        </w:rPr>
        <w:t xml:space="preserve">Considerações éticas.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O projeto será submetido ao Comitê de Ética em Pesquisa, nos termos das Resoluções CNS nº 466/2012 e nº 510/2016, assegurando-se o consentimento livre e esclarecido e o anonimato dos participantes. No caso de povos indígenas e comunidades tradicionais, haverá consulta prévia às lideranças e, quando exigido, apreciação pela Comissão Nacional de Ética em Pesquisa. Será igualmente solicitada a anuência institucional da Polícia Militar. O vínculo profissional do pesquisador com a instituição estudada será tratado com reflexividade, reconhecido tanto como limite potencial quanto como condição privilegiada de acesso ao campo. Para reduzir o risco de respostas condicionadas pela hierarquia, as entrevistas com policiais serão realizadas fora do ambiente de trabalho e sem relação de subordinação com o pesquisador. Reconhecem-se, ainda, duas limitações: o eventual indeferimento ou atraso de pedidos via Lei de Acesso à Informação, a ser contornado por recursos administrativos e pela triangulação com fontes públicas; e o alcance restrito dos achados, próprio do estudo de casos múltiplos, que não autoriza generalização estatística para o estado, mas permite generalização analítica a contextos interioranos semelhantes.</w:t>
      </w:r>
    </w:p>
    <w:bookmarkEnd w:id="23"/>
    <w:bookmarkStart w:id="24" w:name="resultados-esperados"/>
    <w:p>
      <w:pPr>
        <w:pStyle w:val="Heading2"/>
        <w:spacing w:line="360" w:lineRule="auto" w:before="240" w:after="120"/>
      </w:pPr>
      <w:r>
        <w:rPr>
          <w:rFonts w:ascii="Times New Roman" w:hAnsi="Times New Roman" w:eastAsia="Times New Roman" w:cs="Times New Roman"/>
          <w:b/>
          <w:i w:val="0"/>
          <w:sz w:val="24"/>
        </w:rPr>
        <w:t xml:space="preserve">5 RESULTADOS ESPERADOS</w:t>
      </w:r>
    </w:p>
    <w:p>
      <w:pPr>
        <w:pStyle w:val="FirstParagraph"/>
        <w:spacing w:line="360" w:lineRule="auto" w:before="0" w:after="120"/>
        <w:ind w:firstLine="709"/>
        <w:jc w:val="both"/>
      </w:pPr>
      <w:r>
        <w:rPr>
          <w:rFonts w:ascii="Times New Roman" w:hAnsi="Times New Roman" w:eastAsia="Times New Roman" w:cs="Times New Roman"/>
          <w:sz w:val="24"/>
        </w:rPr>
        <w:t xml:space="preserve">No plano acadêmico, espera-se construir um modelo analítico que compreenda o controle policial como sistema articulado e o relacione à legitimidade, e não apenas à eficiência, contribuição inédita para o estudo do interior baiano. No âmbito da Linha 1, a tese deverá oferecer evidências sobre os processos de legitimação do Estado, a relação entre burocracia policial e sociedade civil e a fiscalização de programas de governo. Por fim, no plano social e profissional, pretende-se entregar à Secretaria da Segurança Pública, ao Ministério Público e aos conselhos comunitários uma matriz de indicadores de qualidade e confiança, além de divulgar os resultados em artigos científicos e em oficinas devolutivas nas comunidades participantes.</w:t>
      </w:r>
    </w:p>
    <w:bookmarkEnd w:id="24"/>
    <w:bookmarkStart w:id="25" w:name="cronograma"/>
    <w:p>
      <w:pPr>
        <w:pStyle w:val="Heading2"/>
        <w:spacing w:line="360" w:lineRule="auto" w:before="240" w:after="120"/>
      </w:pPr>
      <w:r>
        <w:rPr>
          <w:rFonts w:ascii="Times New Roman" w:hAnsi="Times New Roman" w:eastAsia="Times New Roman" w:cs="Times New Roman"/>
          <w:b/>
          <w:i w:val="0"/>
          <w:sz w:val="24"/>
        </w:rPr>
        <w:t xml:space="preserve">6 CRONOGRAMA</w:t>
      </w:r>
    </w:p>
    <w:tbl>
      <w:tblPr>
        <w:tblW w:type="pct" w:w="5000"/>
        <w:tblLook w:firstRow="1" w:lastRow="0" w:firstColumn="0" w:lastColumn="0" w:noHBand="0" w:noVBand="0" w:val="0020"/>
        <w:jc w:val="start"/>
      </w:tblPr>
      <w:tblGrid>
        <w:gridCol w:w="3960"/>
        <w:gridCol w:w="3960"/>
      </w:tblGrid>
      <w:tr>
        <w:trPr>
          <w:tblHeader w:val="true"/>
        </w:trPr>
        <w:tc>
          <w:tcPr/>
          <w:p>
            <w:pPr>
              <w:pStyle w:val="Compact"/>
              <w:spacing w:line="240" w:lineRule="auto"/>
              <w:jc w:val="left"/>
            </w:pPr>
            <w:r>
              <w:rPr>
                <w:rFonts w:ascii="Times New Roman" w:hAnsi="Times New Roman" w:eastAsia="Times New Roman" w:cs="Times New Roman"/>
                <w:sz w:val="20"/>
              </w:rPr>
              <w:t xml:space="preserve">Período</w:t>
            </w:r>
          </w:p>
        </w:tc>
        <w:tc>
          <w:tcPr/>
          <w:p>
            <w:pPr>
              <w:pStyle w:val="Compact"/>
              <w:spacing w:line="240" w:lineRule="auto"/>
              <w:jc w:val="left"/>
            </w:pPr>
            <w:r>
              <w:rPr>
                <w:rFonts w:ascii="Times New Roman" w:hAnsi="Times New Roman" w:eastAsia="Times New Roman" w:cs="Times New Roman"/>
                <w:sz w:val="20"/>
              </w:rPr>
              <w:t xml:space="preserve">Atividades</w:t>
            </w:r>
          </w:p>
        </w:tc>
      </w:tr>
      <w:tr>
        <w:tc>
          <w:tcPr/>
          <w:p>
            <w:pPr>
              <w:pStyle w:val="Compact"/>
              <w:spacing w:line="240" w:lineRule="auto"/>
              <w:jc w:val="left"/>
            </w:pPr>
            <w:r>
              <w:rPr>
                <w:rFonts w:ascii="Times New Roman" w:hAnsi="Times New Roman" w:eastAsia="Times New Roman" w:cs="Times New Roman"/>
                <w:sz w:val="20"/>
              </w:rPr>
              <w:t xml:space="preserve">Ano 1 (2027)</w:t>
            </w:r>
          </w:p>
        </w:tc>
        <w:tc>
          <w:tcPr/>
          <w:p>
            <w:pPr>
              <w:pStyle w:val="Compact"/>
              <w:spacing w:line="240" w:lineRule="auto"/>
              <w:jc w:val="left"/>
            </w:pPr>
            <w:r>
              <w:rPr>
                <w:rFonts w:ascii="Times New Roman" w:hAnsi="Times New Roman" w:eastAsia="Times New Roman" w:cs="Times New Roman"/>
                <w:sz w:val="20"/>
              </w:rPr>
              <w:t xml:space="preserve">Cumprimento de disciplinas; revisão de literatura; pesquisa documental e pedidos via Lei de Acesso à Informação; submissão ao Comitê de Ética</w:t>
            </w:r>
          </w:p>
        </w:tc>
      </w:tr>
      <w:tr>
        <w:tc>
          <w:tcPr/>
          <w:p>
            <w:pPr>
              <w:pStyle w:val="Compact"/>
              <w:spacing w:line="240" w:lineRule="auto"/>
              <w:jc w:val="left"/>
            </w:pPr>
            <w:r>
              <w:rPr>
                <w:rFonts w:ascii="Times New Roman" w:hAnsi="Times New Roman" w:eastAsia="Times New Roman" w:cs="Times New Roman"/>
                <w:sz w:val="20"/>
              </w:rPr>
              <w:t xml:space="preserve">Ano 2 (2028)</w:t>
            </w:r>
          </w:p>
        </w:tc>
        <w:tc>
          <w:tcPr/>
          <w:p>
            <w:pPr>
              <w:pStyle w:val="Compact"/>
              <w:spacing w:line="240" w:lineRule="auto"/>
              <w:jc w:val="left"/>
            </w:pPr>
            <w:r>
              <w:rPr>
                <w:rFonts w:ascii="Times New Roman" w:hAnsi="Times New Roman" w:eastAsia="Times New Roman" w:cs="Times New Roman"/>
                <w:sz w:val="20"/>
              </w:rPr>
              <w:t xml:space="preserve">Entrevistas e grupos focais; análise das séries de indicadores; exame de qualificação</w:t>
            </w:r>
          </w:p>
        </w:tc>
      </w:tr>
      <w:tr>
        <w:tc>
          <w:tcPr/>
          <w:p>
            <w:pPr>
              <w:pStyle w:val="Compact"/>
              <w:spacing w:line="240" w:lineRule="auto"/>
              <w:jc w:val="left"/>
            </w:pPr>
            <w:r>
              <w:rPr>
                <w:rFonts w:ascii="Times New Roman" w:hAnsi="Times New Roman" w:eastAsia="Times New Roman" w:cs="Times New Roman"/>
                <w:sz w:val="20"/>
              </w:rPr>
              <w:t xml:space="preserve">Ano 3 (2029)</w:t>
            </w:r>
          </w:p>
        </w:tc>
        <w:tc>
          <w:tcPr/>
          <w:p>
            <w:pPr>
              <w:pStyle w:val="Compact"/>
              <w:spacing w:line="240" w:lineRule="auto"/>
              <w:jc w:val="left"/>
            </w:pPr>
            <w:r>
              <w:rPr>
                <w:rFonts w:ascii="Times New Roman" w:hAnsi="Times New Roman" w:eastAsia="Times New Roman" w:cs="Times New Roman"/>
                <w:sz w:val="20"/>
              </w:rPr>
              <w:t xml:space="preserve">Análise dos dados; publicação de artigos; oficina devolutiva</w:t>
            </w:r>
          </w:p>
        </w:tc>
      </w:tr>
      <w:tr>
        <w:tc>
          <w:tcPr/>
          <w:p>
            <w:pPr>
              <w:pStyle w:val="Compact"/>
              <w:spacing w:line="240" w:lineRule="auto"/>
              <w:jc w:val="left"/>
            </w:pPr>
            <w:r>
              <w:rPr>
                <w:rFonts w:ascii="Times New Roman" w:hAnsi="Times New Roman" w:eastAsia="Times New Roman" w:cs="Times New Roman"/>
                <w:sz w:val="20"/>
              </w:rPr>
              <w:t xml:space="preserve">Ano 4 (2030)</w:t>
            </w:r>
          </w:p>
        </w:tc>
        <w:tc>
          <w:tcPr/>
          <w:p>
            <w:pPr>
              <w:pStyle w:val="Compact"/>
              <w:spacing w:line="240" w:lineRule="auto"/>
              <w:jc w:val="left"/>
            </w:pPr>
            <w:r>
              <w:rPr>
                <w:rFonts w:ascii="Times New Roman" w:hAnsi="Times New Roman" w:eastAsia="Times New Roman" w:cs="Times New Roman"/>
                <w:sz w:val="20"/>
              </w:rPr>
              <w:t xml:space="preserve">Elaboração da matriz de indicadores; redação final; defesa</w:t>
            </w:r>
          </w:p>
        </w:tc>
      </w:tr>
    </w:tbl>
    <w:bookmarkEnd w:id="25"/>
    <w:bookmarkStart w:id="26" w:name="referências"/>
    <w:p>
      <w:pPr>
        <w:pStyle w:val="Heading2"/>
        <w:spacing w:line="360" w:lineRule="auto" w:before="240" w:after="120"/>
      </w:pPr>
      <w:r>
        <w:rPr>
          <w:rFonts w:ascii="Times New Roman" w:hAnsi="Times New Roman" w:eastAsia="Times New Roman" w:cs="Times New Roman"/>
          <w:b/>
          <w:i w:val="0"/>
          <w:sz w:val="24"/>
        </w:rPr>
        <w:t xml:space="preserve">REFERÊNCIAS</w:t>
      </w:r>
    </w:p>
    <w:p>
      <w:pPr>
        <w:pStyle w:val="FirstParagraph"/>
        <w:spacing w:line="240" w:lineRule="auto" w:before="0" w:after="240"/>
        <w:jc w:val="left"/>
      </w:pPr>
      <w:r>
        <w:rPr>
          <w:rFonts w:ascii="Times New Roman" w:hAnsi="Times New Roman" w:eastAsia="Times New Roman" w:cs="Times New Roman"/>
          <w:sz w:val="24"/>
        </w:rPr>
        <w:t xml:space="preserve">ARAÚJO, E. M.; OLIVEIRA, R. R. S.; SAMPAIO, A. A. S. Qualidade metodológica das pesquisas documentais sobre controle disciplinar interno da Polícia Militar: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19, n. 1, p. 342-357, fev./mar. 2025.</w:t>
      </w:r>
    </w:p>
    <w:p>
      <w:pPr>
        <w:pStyle w:val="BodyText"/>
        <w:spacing w:line="240" w:lineRule="auto" w:before="0" w:after="240"/>
        <w:jc w:val="left"/>
      </w:pPr>
      <w:r>
        <w:rPr>
          <w:rFonts w:ascii="Times New Roman" w:hAnsi="Times New Roman" w:eastAsia="Times New Roman" w:cs="Times New Roman"/>
          <w:sz w:val="24"/>
        </w:rPr>
        <w:t xml:space="preserve">BARDIN, 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Análise de conteúdo</w:t>
      </w:r>
      <w:r>
        <w:rPr>
          <w:rFonts w:ascii="Times New Roman" w:hAnsi="Times New Roman" w:eastAsia="Times New Roman" w:cs="Times New Roman"/>
          <w:sz w:val="24"/>
        </w:rPr>
        <w:t xml:space="preserve">. São Paulo: Edições 70, 2016.</w:t>
      </w:r>
    </w:p>
    <w:p>
      <w:pPr>
        <w:pStyle w:val="BodyText"/>
        <w:spacing w:line="240" w:lineRule="auto" w:before="0" w:after="240"/>
        <w:jc w:val="left"/>
      </w:pPr>
      <w:r>
        <w:rPr>
          <w:rFonts w:ascii="Times New Roman" w:hAnsi="Times New Roman" w:eastAsia="Times New Roman" w:cs="Times New Roman"/>
          <w:sz w:val="24"/>
        </w:rPr>
        <w:t xml:space="preserve">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Padrões de policiamento</w:t>
      </w:r>
      <w:r>
        <w:rPr>
          <w:rFonts w:ascii="Times New Roman" w:hAnsi="Times New Roman" w:eastAsia="Times New Roman" w:cs="Times New Roman"/>
          <w:sz w:val="24"/>
        </w:rPr>
        <w:t xml:space="preserve">: uma análise internacional comparativa. São Paulo: Edusp, 2001.</w:t>
      </w:r>
    </w:p>
    <w:p>
      <w:pPr>
        <w:pStyle w:val="BodyText"/>
        <w:spacing w:line="240" w:lineRule="auto" w:before="0" w:after="240"/>
        <w:jc w:val="left"/>
      </w:pPr>
      <w:r>
        <w:rPr>
          <w:rFonts w:ascii="Times New Roman" w:hAnsi="Times New Roman" w:eastAsia="Times New Roman" w:cs="Times New Roman"/>
          <w:sz w:val="24"/>
        </w:rPr>
        <w:t xml:space="preserve">BEETHAM, D.</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The legitimation of power</w:t>
      </w:r>
      <w:r>
        <w:rPr>
          <w:rFonts w:ascii="Times New Roman" w:hAnsi="Times New Roman" w:eastAsia="Times New Roman" w:cs="Times New Roman"/>
          <w:sz w:val="24"/>
        </w:rPr>
        <w:t xml:space="preserve">. London: Macmillan, 1991.</w:t>
      </w:r>
    </w:p>
    <w:p>
      <w:pPr>
        <w:pStyle w:val="BodyText"/>
        <w:spacing w:line="240" w:lineRule="auto" w:before="0" w:after="240"/>
        <w:jc w:val="left"/>
      </w:pPr>
      <w:r>
        <w:rPr>
          <w:rFonts w:ascii="Times New Roman" w:hAnsi="Times New Roman" w:eastAsia="Times New Roman" w:cs="Times New Roman"/>
          <w:sz w:val="24"/>
        </w:rPr>
        <w:t xml:space="preserve">BUENO, S.; LIMA, R. S.; TEIXEIRA, M. A. C. Sujeito ou demandante? Reflexões sobre o caráter da participação nos conselhos comunitários de segurança de São Paulo.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18, n. 42, p. 328-355, 2016. DOI: 10.1590/15174522-018004214.</w:t>
      </w:r>
    </w:p>
    <w:p>
      <w:pPr>
        <w:pStyle w:val="BodyText"/>
        <w:spacing w:line="240" w:lineRule="auto" w:before="0" w:after="240"/>
        <w:jc w:val="left"/>
      </w:pPr>
      <w:r>
        <w:rPr>
          <w:rFonts w:ascii="Times New Roman" w:hAnsi="Times New Roman" w:eastAsia="Times New Roman" w:cs="Times New Roman"/>
          <w:sz w:val="24"/>
        </w:rPr>
        <w:t xml:space="preserve">COSTA, A. T.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Entre a lei e a ordem</w:t>
      </w:r>
      <w:r>
        <w:rPr>
          <w:rFonts w:ascii="Times New Roman" w:hAnsi="Times New Roman" w:eastAsia="Times New Roman" w:cs="Times New Roman"/>
          <w:sz w:val="24"/>
        </w:rPr>
        <w:t xml:space="preserve">: violência e reforma nas polícias do Rio de Janeiro e Nova York. Rio de Janeiro: Editora FGV, 2004.</w:t>
      </w:r>
    </w:p>
    <w:p>
      <w:pPr>
        <w:pStyle w:val="BodyText"/>
        <w:spacing w:line="240" w:lineRule="auto" w:before="0" w:after="240"/>
        <w:jc w:val="left"/>
      </w:pPr>
      <w:r>
        <w:rPr>
          <w:rFonts w:ascii="Times New Roman" w:hAnsi="Times New Roman" w:eastAsia="Times New Roman" w:cs="Times New Roman"/>
          <w:sz w:val="24"/>
        </w:rPr>
        <w:t xml:space="preserve">FERREIRA, D. V. S.; ROSSONI, L.; OLIVEIRA, C. R. Lógicas institucionais do policiamento comunitário: esquema analítico e agenda de pesquisa para o contexto brasileiro.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de Administração Pública</w:t>
      </w:r>
      <w:r>
        <w:rPr>
          <w:rFonts w:ascii="Times New Roman" w:hAnsi="Times New Roman" w:eastAsia="Times New Roman" w:cs="Times New Roman"/>
          <w:sz w:val="24"/>
        </w:rPr>
        <w:t xml:space="preserve">, Rio de Janeiro, v. 56, n. 1, p. 134-162, jan./fev. 2022. DOI: 10.1590/0034-761220210122.</w:t>
      </w:r>
    </w:p>
    <w:p>
      <w:pPr>
        <w:pStyle w:val="BodyText"/>
        <w:spacing w:line="240" w:lineRule="auto" w:before="0" w:after="240"/>
        <w:jc w:val="left"/>
      </w:pPr>
      <w:r>
        <w:rPr>
          <w:rFonts w:ascii="Times New Roman" w:hAnsi="Times New Roman" w:eastAsia="Times New Roman" w:cs="Times New Roman"/>
          <w:sz w:val="24"/>
        </w:rPr>
        <w:t xml:space="preserve">FÓRUM BRASILEIRO DE SEGURANÇA PÚBLICA.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Anuário Brasileiro de Segurança Pública 2025</w:t>
      </w:r>
      <w:r>
        <w:rPr>
          <w:rFonts w:ascii="Times New Roman" w:hAnsi="Times New Roman" w:eastAsia="Times New Roman" w:cs="Times New Roman"/>
          <w:sz w:val="24"/>
        </w:rPr>
        <w:t xml:space="preserve">. São Paulo: FBSP, 2025.</w:t>
      </w:r>
    </w:p>
    <w:p>
      <w:pPr>
        <w:pStyle w:val="BodyText"/>
        <w:spacing w:line="240" w:lineRule="auto" w:before="0" w:after="240"/>
        <w:jc w:val="left"/>
      </w:pPr>
      <w:r>
        <w:rPr>
          <w:rFonts w:ascii="Times New Roman" w:hAnsi="Times New Roman" w:eastAsia="Times New Roman" w:cs="Times New Roman"/>
          <w:sz w:val="24"/>
        </w:rPr>
        <w:t xml:space="preserve">LEMGRUBER, J.; MUSUMECI, L.; CANO, I.</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Quem vigia os vigias?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Um estudo sobre controle externo da polícia no Brasil. Rio de Janeiro: Record, 2003.</w:t>
      </w:r>
    </w:p>
    <w:p>
      <w:pPr>
        <w:pStyle w:val="BodyText"/>
        <w:spacing w:line="240" w:lineRule="auto" w:before="0" w:after="240"/>
        <w:jc w:val="left"/>
      </w:pPr>
      <w:r>
        <w:rPr>
          <w:rFonts w:ascii="Times New Roman" w:hAnsi="Times New Roman" w:eastAsia="Times New Roman" w:cs="Times New Roman"/>
          <w:sz w:val="24"/>
        </w:rPr>
        <w:t xml:space="preserve">LUI, L.; SALES, E. R. Policiamento baseado em evidências: uma revisão bibliométrica.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Segurança Pública</w:t>
      </w:r>
      <w:r>
        <w:rPr>
          <w:rFonts w:ascii="Times New Roman" w:hAnsi="Times New Roman" w:eastAsia="Times New Roman" w:cs="Times New Roman"/>
          <w:sz w:val="24"/>
        </w:rPr>
        <w:t xml:space="preserve">, São Paulo, v. 18, n. 1, p. 344-359, fev./mar. 2024.</w:t>
      </w:r>
    </w:p>
    <w:p>
      <w:pPr>
        <w:pStyle w:val="BodyText"/>
        <w:spacing w:line="240" w:lineRule="auto" w:before="0" w:after="240"/>
        <w:jc w:val="left"/>
      </w:pPr>
      <w:r>
        <w:rPr>
          <w:rFonts w:ascii="Times New Roman" w:hAnsi="Times New Roman" w:eastAsia="Times New Roman" w:cs="Times New Roman"/>
          <w:sz w:val="24"/>
        </w:rPr>
        <w:t xml:space="preserve">MUNIZ, J.; PAES-MACHADO, E. Polícia para quem precisa de polícia: contribuições aos estudos sobre policiamento.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Caderno CRH</w:t>
      </w:r>
      <w:r>
        <w:rPr>
          <w:rFonts w:ascii="Times New Roman" w:hAnsi="Times New Roman" w:eastAsia="Times New Roman" w:cs="Times New Roman"/>
          <w:sz w:val="24"/>
        </w:rPr>
        <w:t xml:space="preserve">, Salvador, v. 23, n. 60, 2010.</w:t>
      </w:r>
    </w:p>
    <w:p>
      <w:pPr>
        <w:pStyle w:val="BodyText"/>
        <w:spacing w:line="240" w:lineRule="auto" w:before="0" w:after="240"/>
        <w:jc w:val="left"/>
      </w:pPr>
      <w:r>
        <w:rPr>
          <w:rFonts w:ascii="Times New Roman" w:hAnsi="Times New Roman" w:eastAsia="Times New Roman" w:cs="Times New Roman"/>
          <w:sz w:val="24"/>
        </w:rPr>
        <w:t xml:space="preserve">OLIVEIRA, T. R.; OLIVEIRA, A. R.; ADORNO, S. Legitimidade policial: um modelo de mensuração.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Brasileira de Ciências Sociais</w:t>
      </w:r>
      <w:r>
        <w:rPr>
          <w:rFonts w:ascii="Times New Roman" w:hAnsi="Times New Roman" w:eastAsia="Times New Roman" w:cs="Times New Roman"/>
          <w:sz w:val="24"/>
        </w:rPr>
        <w:t xml:space="preserve">, São Paulo, v. 34, n. 100, e3410007, 2019. DOI: 10.1590/3410007/2019.</w:t>
      </w:r>
    </w:p>
    <w:p>
      <w:pPr>
        <w:pStyle w:val="BodyText"/>
        <w:spacing w:line="240" w:lineRule="auto" w:before="0" w:after="240"/>
        <w:jc w:val="left"/>
      </w:pPr>
      <w:r>
        <w:rPr>
          <w:rFonts w:ascii="Times New Roman" w:hAnsi="Times New Roman" w:eastAsia="Times New Roman" w:cs="Times New Roman"/>
          <w:sz w:val="24"/>
        </w:rPr>
        <w:t xml:space="preserve">PEDROSA JÚNIOR, J. L. C.; MONTEIRO, L. M.; NASCIMENTO, E. O. Accountability e controle externo da atividade policial: uma análise das diretrizes do CNMP no enfrentamento à letalidade policial.</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REDES: Revista Eletrônica Direito e Sociedade</w:t>
      </w:r>
      <w:r>
        <w:rPr>
          <w:rFonts w:ascii="Times New Roman" w:hAnsi="Times New Roman" w:eastAsia="Times New Roman" w:cs="Times New Roman"/>
          <w:sz w:val="24"/>
        </w:rPr>
        <w:t xml:space="preserve">, Canoas, v. 11, n. 2, 2023. DOI: 10.18316/REDES.v11i2.9556.</w:t>
      </w:r>
    </w:p>
    <w:p>
      <w:pPr>
        <w:pStyle w:val="BodyText"/>
        <w:spacing w:line="240" w:lineRule="auto" w:before="0" w:after="240"/>
        <w:jc w:val="left"/>
      </w:pPr>
      <w:r>
        <w:rPr>
          <w:rFonts w:ascii="Times New Roman" w:hAnsi="Times New Roman" w:eastAsia="Times New Roman" w:cs="Times New Roman"/>
          <w:sz w:val="24"/>
        </w:rPr>
        <w:t xml:space="preserve">ROLIM, M. F.; HERMANN, D. Confiança nas polícias: percepção dos residentes e desafios para a gestão.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Sociologias</w:t>
      </w:r>
      <w:r>
        <w:rPr>
          <w:rFonts w:ascii="Times New Roman" w:hAnsi="Times New Roman" w:eastAsia="Times New Roman" w:cs="Times New Roman"/>
          <w:sz w:val="24"/>
        </w:rPr>
        <w:t xml:space="preserve">, Porto Alegre, v. 20, n. 48, p. 188-211, maio/ago. 2018. DOI: 10.1590/15174522-020004812.</w:t>
      </w:r>
    </w:p>
    <w:p>
      <w:pPr>
        <w:pStyle w:val="BodyText"/>
        <w:spacing w:line="240" w:lineRule="auto" w:before="0" w:after="240"/>
        <w:jc w:val="left"/>
      </w:pPr>
      <w:r>
        <w:rPr>
          <w:rFonts w:ascii="Times New Roman" w:hAnsi="Times New Roman" w:eastAsia="Times New Roman" w:cs="Times New Roman"/>
          <w:sz w:val="24"/>
        </w:rPr>
        <w:t xml:space="preserve">SANTOS, A. P.; GOMES, A. O. Desempenho de organizações policiais: revisão sistemática da literatura.</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Revista do Serviço Público</w:t>
      </w:r>
      <w:r>
        <w:rPr>
          <w:rFonts w:ascii="Times New Roman" w:hAnsi="Times New Roman" w:eastAsia="Times New Roman" w:cs="Times New Roman"/>
          <w:sz w:val="24"/>
        </w:rPr>
        <w:t xml:space="preserve">, Brasília, v. 72, n. 1, p. 262-291, jan./mar. 2021. DOI: 10.21874/rsp.v72i01.4881.</w:t>
      </w:r>
    </w:p>
    <w:p>
      <w:pPr>
        <w:pStyle w:val="BodyText"/>
        <w:spacing w:line="240" w:lineRule="auto" w:before="0" w:after="240"/>
        <w:jc w:val="left"/>
      </w:pPr>
      <w:r>
        <w:rPr>
          <w:rFonts w:ascii="Times New Roman" w:hAnsi="Times New Roman" w:eastAsia="Times New Roman" w:cs="Times New Roman"/>
          <w:sz w:val="24"/>
        </w:rPr>
        <w:t xml:space="preserve">SAPORI, L. F.</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Segurança pública no Brasil</w:t>
      </w:r>
      <w:r>
        <w:rPr>
          <w:rFonts w:ascii="Times New Roman" w:hAnsi="Times New Roman" w:eastAsia="Times New Roman" w:cs="Times New Roman"/>
          <w:sz w:val="24"/>
        </w:rPr>
        <w:t xml:space="preserve">: desafios e perspectivas. Rio de Janeiro: Editora FGV, 2007.</w:t>
      </w:r>
    </w:p>
    <w:p>
      <w:pPr>
        <w:pStyle w:val="BodyText"/>
        <w:spacing w:line="240" w:lineRule="auto" w:before="0" w:after="240"/>
        <w:jc w:val="left"/>
      </w:pPr>
      <w:r>
        <w:rPr>
          <w:rFonts w:ascii="Times New Roman" w:hAnsi="Times New Roman" w:eastAsia="Times New Roman" w:cs="Times New Roman"/>
          <w:sz w:val="24"/>
        </w:rPr>
        <w:t xml:space="preserve">SKOLNICK, J. H.; BAYLEY, D. H.</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Policiamento comunitário</w:t>
      </w:r>
      <w:r>
        <w:rPr>
          <w:rFonts w:ascii="Times New Roman" w:hAnsi="Times New Roman" w:eastAsia="Times New Roman" w:cs="Times New Roman"/>
          <w:sz w:val="24"/>
        </w:rPr>
        <w:t xml:space="preserve">: questões e práticas através do mundo. São Paulo: Edusp, 2002.</w:t>
      </w:r>
    </w:p>
    <w:p>
      <w:pPr>
        <w:pStyle w:val="BodyText"/>
        <w:spacing w:line="240" w:lineRule="auto" w:before="0" w:after="240"/>
        <w:jc w:val="left"/>
      </w:pPr>
      <w:r>
        <w:rPr>
          <w:rFonts w:ascii="Times New Roman" w:hAnsi="Times New Roman" w:eastAsia="Times New Roman" w:cs="Times New Roman"/>
          <w:sz w:val="24"/>
        </w:rPr>
        <w:t xml:space="preserve">SOUSA, L. H. S. </w:t>
      </w:r>
      <w:r>
        <w:rPr>
          <w:b/>
          <w:rFonts w:ascii="Times New Roman" w:hAnsi="Times New Roman" w:eastAsia="Times New Roman" w:cs="Times New Roman"/>
          <w:sz w:val="24"/>
        </w:rPr>
        <w:t xml:space="preserve">Os indicadores de desempenho como mecanismo de controle na atividade de policiamento comunitário</w:t>
      </w:r>
      <w:r>
        <w:rPr>
          <w:rFonts w:ascii="Times New Roman" w:hAnsi="Times New Roman" w:eastAsia="Times New Roman" w:cs="Times New Roman"/>
          <w:sz w:val="24"/>
        </w:rPr>
        <w:t xml:space="preserve">. 2024. Dissertação (Mestrado Profissional em Segurança Pública, Justiça e Cidadania) – Escola de Administração/Faculdade de Direito, Universidade Federal da Bahia, Salvador, 2024.</w:t>
      </w:r>
    </w:p>
    <w:p>
      <w:pPr>
        <w:pStyle w:val="BodyText"/>
        <w:spacing w:line="240" w:lineRule="auto" w:before="0" w:after="240"/>
        <w:jc w:val="left"/>
      </w:pPr>
      <w:r>
        <w:rPr>
          <w:rFonts w:ascii="Times New Roman" w:hAnsi="Times New Roman" w:eastAsia="Times New Roman" w:cs="Times New Roman"/>
          <w:sz w:val="24"/>
        </w:rPr>
        <w:t xml:space="preserve">SUNSHINE, J.; TYLER, T. R. The role of procedural justice and legitimacy in shaping public support for policing.</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Law &amp; Society Review</w:t>
      </w:r>
      <w:r>
        <w:rPr>
          <w:rFonts w:ascii="Times New Roman" w:hAnsi="Times New Roman" w:eastAsia="Times New Roman" w:cs="Times New Roman"/>
          <w:sz w:val="24"/>
        </w:rPr>
        <w:t xml:space="preserve">, v. 37, n. 3, p. 513-548, 2003.</w:t>
      </w:r>
    </w:p>
    <w:p>
      <w:pPr>
        <w:pStyle w:val="BodyText"/>
        <w:spacing w:line="240" w:lineRule="auto" w:before="0" w:after="240"/>
        <w:jc w:val="left"/>
      </w:pPr>
      <w:r>
        <w:rPr>
          <w:rFonts w:ascii="Times New Roman" w:hAnsi="Times New Roman" w:eastAsia="Times New Roman" w:cs="Times New Roman"/>
          <w:sz w:val="24"/>
        </w:rPr>
        <w:t xml:space="preserve">TYLER, T. R.</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Why people obey the law</w:t>
      </w:r>
      <w:r>
        <w:rPr>
          <w:rFonts w:ascii="Times New Roman" w:hAnsi="Times New Roman" w:eastAsia="Times New Roman" w:cs="Times New Roman"/>
          <w:sz w:val="24"/>
        </w:rPr>
        <w:t xml:space="preserve">. Princeton: Princeton University Press, 2006.</w:t>
      </w:r>
    </w:p>
    <w:p>
      <w:pPr>
        <w:pStyle w:val="BodyText"/>
        <w:spacing w:line="240" w:lineRule="auto" w:before="0" w:after="240"/>
        <w:jc w:val="left"/>
      </w:pPr>
      <w:r>
        <w:rPr>
          <w:rFonts w:ascii="Times New Roman" w:hAnsi="Times New Roman" w:eastAsia="Times New Roman" w:cs="Times New Roman"/>
          <w:sz w:val="24"/>
        </w:rPr>
        <w:t xml:space="preserve">WEBER, M.</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Economia e sociedade</w:t>
      </w:r>
      <w:r>
        <w:rPr>
          <w:rFonts w:ascii="Times New Roman" w:hAnsi="Times New Roman" w:eastAsia="Times New Roman" w:cs="Times New Roman"/>
          <w:sz w:val="24"/>
        </w:rPr>
        <w:t xml:space="preserve">: fundamentos da sociologia compreensiva. Brasília: Editora UnB, 2004. v. 2.</w:t>
      </w:r>
    </w:p>
    <w:p>
      <w:pPr>
        <w:pStyle w:val="BodyText"/>
        <w:spacing w:line="240" w:lineRule="auto" w:before="0" w:after="240"/>
        <w:jc w:val="left"/>
      </w:pPr>
      <w:r>
        <w:rPr>
          <w:rFonts w:ascii="Times New Roman" w:hAnsi="Times New Roman" w:eastAsia="Times New Roman" w:cs="Times New Roman"/>
          <w:sz w:val="24"/>
        </w:rPr>
        <w:t xml:space="preserve">ZANETIC, A.; MANSO, B. P.; NATAL, A. L.; OLIVEIRA, T. R. Legitimidade da polícia: segurança pública para além da dissuasão.</w:t>
      </w:r>
      <w:r>
        <w:rPr>
          <w:rFonts w:ascii="Times New Roman" w:hAnsi="Times New Roman" w:eastAsia="Times New Roman" w:cs="Times New Roman"/>
          <w:sz w:val="24"/>
        </w:rPr>
        <w:t xml:space="preserve"> </w:t>
      </w:r>
      <w:r>
        <w:rPr>
          <w:bCs/>
          <w:rFonts w:ascii="Times New Roman" w:hAnsi="Times New Roman" w:eastAsia="Times New Roman" w:cs="Times New Roman"/>
          <w:b/>
          <w:sz w:val="24"/>
        </w:rPr>
        <w:t xml:space="preserve">Civitas</w:t>
      </w:r>
      <w:r>
        <w:rPr>
          <w:rFonts w:ascii="Times New Roman" w:hAnsi="Times New Roman" w:eastAsia="Times New Roman" w:cs="Times New Roman"/>
          <w:sz w:val="24"/>
        </w:rPr>
        <w:t xml:space="preserve">, Porto Alegre, v. 16, n. 4, p. 148-173, out./dez. 2016.</w:t>
      </w:r>
    </w:p>
    <w:bookmarkEnd w:id="26"/>
    <w:bookmarkStart w:id="27" w:name="X1899a8583d36aac617b70b32311b7d883b725c1"/>
    <w:p>
      <w:pPr>
        <w:pStyle w:val="Heading2"/>
        <w:spacing w:line="360" w:lineRule="auto" w:before="240" w:after="120"/>
      </w:pPr>
      <w:r>
        <w:rPr>
          <w:rFonts w:ascii="Times New Roman" w:hAnsi="Times New Roman" w:eastAsia="Times New Roman" w:cs="Times New Roman"/>
          <w:b/>
          <w:i w:val="0"/>
          <w:sz w:val="24"/>
        </w:rPr>
        <w:t xml:space="preserve">DECLARAÇÃO SOBRE O USO DE INTELIGÊNCIA ARTIFICIAL GENERATIVA</w:t>
      </w:r>
    </w:p>
    <w:p>
      <w:pPr>
        <w:pStyle w:val="FirstParagraph"/>
        <w:spacing w:line="360" w:lineRule="auto" w:before="0" w:after="120"/>
        <w:ind w:firstLine="709"/>
        <w:jc w:val="both"/>
      </w:pPr>
      <w:r>
        <w:rPr>
          <w:rFonts w:ascii="Times New Roman" w:hAnsi="Times New Roman" w:eastAsia="Times New Roman" w:cs="Times New Roman"/>
          <w:sz w:val="24"/>
        </w:rPr>
        <w:t xml:space="preserve">Declara-se que, na elaboração deste anteprojeto, foi utilizada ferramenta de inteligência artificial generativa (Claude, Anthropic) como apoio à organização da estrutura, à busca bibliográfica e à revisão textual. Todo o conteúdo foi revisado, validado e reescrito pelo candidato, que assume integralmente a autoria e a responsabilidade pelo texto, conforme o item 5.2.3 do edital.</w:t>
      </w:r>
    </w:p>
    <w:bookmarkEnd w:id="27"/>
    <w:bookmarkEnd w:id="28"/>
    <w:sectPr>
      <w:pgSz w:h="16838" w:w="11906"/>
      <w:pgMar w:top="1417" w:bottom="141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2026-10-19T13:23:11Z</dcterms:created>
  <dcterms:modified xsi:type="dcterms:W3CDTF">2026-10-19T13:23:11Z</dcterms:modified>
</cp:coreProperties>
</file>

<file path=docProps/custom.xml><?xml version="1.0" encoding="utf-8"?>
<Properties xmlns="http://schemas.openxmlformats.org/officeDocument/2006/custom-properties" xmlns:vt="http://schemas.openxmlformats.org/officeDocument/2006/docPropsVTypes"/>
</file>