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anteprojeto-de-pesquisa-doutorado"/>
    <w:p>
      <w:pPr>
        <w:pStyle w:val="Heading1"/>
        <w:spacing w:line="360" w:lineRule="auto" w:before="240" w:after="120"/>
        <w:jc w:val="center"/>
      </w:pPr>
      <w:r>
        <w:rPr>
          <w:rFonts w:ascii="Times New Roman" w:hAnsi="Times New Roman" w:eastAsia="Times New Roman" w:cs="Times New Roman"/>
          <w:b/>
          <w:i w:val="0"/>
          <w:sz w:val="24"/>
        </w:rPr>
        <w:t xml:space="preserve">ANTEPROJETO DE PESQUISA – DOUTORADO</w:t>
      </w:r>
    </w:p>
    <w:p>
      <w:pPr>
        <w:pStyle w:val="FirstParagraph"/>
        <w:spacing w:line="360" w:lineRule="auto" w:before="0" w:after="120"/>
        <w:ind w:firstLine="709"/>
        <w:jc w:val="both"/>
      </w:pPr>
      <w:r>
        <w:rPr>
          <w:bCs/>
          <w:rFonts w:ascii="Times New Roman" w:hAnsi="Times New Roman" w:eastAsia="Times New Roman" w:cs="Times New Roman"/>
          <w:b/>
          <w:sz w:val="24"/>
        </w:rPr>
        <w:t xml:space="preserve">Título:</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Quem controla a polícia de proximidade? Controle democrático, accountability e legitimidade do policiamento comunitário em territórios negros e quilombolas do Extremo Sul da Bahia</w:t>
      </w:r>
    </w:p>
    <w:p>
      <w:pPr>
        <w:pStyle w:val="BodyText"/>
        <w:spacing w:line="360" w:lineRule="auto" w:before="0" w:after="120"/>
        <w:ind w:firstLine="709"/>
        <w:jc w:val="both"/>
      </w:pPr>
      <w:r>
        <w:rPr>
          <w:bCs/>
          <w:rFonts w:ascii="Times New Roman" w:hAnsi="Times New Roman" w:eastAsia="Times New Roman" w:cs="Times New Roman"/>
          <w:b/>
          <w:sz w:val="24"/>
        </w:rPr>
        <w:t xml:space="preserve">Linha de pesquisa:</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Linha 1 – Estado, instituições e governança</w:t>
      </w:r>
    </w:p>
    <w:p>
      <w:pPr>
        <w:pStyle w:val="BodyText"/>
        <w:spacing w:line="360" w:lineRule="auto" w:before="0" w:after="120"/>
        <w:ind w:firstLine="709"/>
        <w:jc w:val="both"/>
      </w:pPr>
      <w:r>
        <w:rPr>
          <w:bCs/>
          <w:rFonts w:ascii="Times New Roman" w:hAnsi="Times New Roman" w:eastAsia="Times New Roman" w:cs="Times New Roman"/>
          <w:b/>
          <w:sz w:val="24"/>
        </w:rPr>
        <w:t xml:space="preserve">Opções de orientação, por ordem de preferência:</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1ª Profa. Maria do Carmo Rebouças da Cruz Ferreira dos Santos; 2ª Profa. Carolina Bessa Ferreira de Oliveira</w:t>
      </w:r>
    </w:p>
    <w:bookmarkStart w:id="20" w:name="introdução-e-justificativa"/>
    <w:p>
      <w:pPr>
        <w:pStyle w:val="Heading2"/>
        <w:spacing w:line="360" w:lineRule="auto" w:before="240" w:after="120"/>
      </w:pPr>
      <w:r>
        <w:rPr>
          <w:rFonts w:ascii="Times New Roman" w:hAnsi="Times New Roman" w:eastAsia="Times New Roman" w:cs="Times New Roman"/>
          <w:b/>
          <w:i w:val="0"/>
          <w:sz w:val="24"/>
        </w:rPr>
        <w:t xml:space="preserve">1 INTRODUÇÃO E JUSTIFICATIVA</w:t>
      </w:r>
    </w:p>
    <w:p>
      <w:pPr>
        <w:pStyle w:val="FirstParagraph"/>
        <w:spacing w:line="360" w:lineRule="auto" w:before="0" w:after="120"/>
        <w:ind w:firstLine="709"/>
        <w:jc w:val="both"/>
      </w:pPr>
      <w:r>
        <w:rPr>
          <w:rFonts w:ascii="Times New Roman" w:hAnsi="Times New Roman" w:eastAsia="Times New Roman" w:cs="Times New Roman"/>
          <w:sz w:val="24"/>
        </w:rPr>
        <w:t xml:space="preserve">O policiamento comunitário chegou ao Brasil com uma promessa ambiciosa: aproximar a polícia da população e transformar a segurança pública numa tarefa compartilhada, voltada à prevenção e à redução do medo do crime. Na Bahia, essa promessa ganhou forma institucional nas Bases Comunitárias de Segurança, criadas no âmbito do Programa Pacto pela Vida, hoje reformulado como Bahia pela Paz. Em Porto Seguro, a Base Comunitária do Baianão/Frei Calixto foi implantada numa das áreas periféricas mais populosas do município. Passada mais de uma década, porém, permanece em aberto uma questão de fundo: quem controla essa polícia de proximidade, e com que efeitos sobre a sua legitimidade junto às populações negras que ela deveria proteger?</w:t>
      </w:r>
    </w:p>
    <w:p>
      <w:pPr>
        <w:pStyle w:val="BodyText"/>
        <w:spacing w:line="360" w:lineRule="auto" w:before="0" w:after="120"/>
        <w:ind w:firstLine="709"/>
        <w:jc w:val="both"/>
      </w:pPr>
      <w:r>
        <w:rPr>
          <w:rFonts w:ascii="Times New Roman" w:hAnsi="Times New Roman" w:eastAsia="Times New Roman" w:cs="Times New Roman"/>
          <w:sz w:val="24"/>
        </w:rPr>
        <w:t xml:space="preserve">É nesse cenário que os dados mais recentes tornam essa pergunta urgente. De acordo com o Anuário Brasileiro de Segurança Pública, Eunápolis e Porto Seguro figuram entre as quatro cidades mais violentas do país, com taxas de 85,1 e 71,2 mortes violentas intencionais por 100 mil habitantes, respectivamente, e lideram o país em mortes decorrentes de intervenção policial entre os municípios com mais de 100 mil habitantes, com 32,3 e 29,7 por 100 mil, respectivamente (FÓRUM BRASILEIRO DE SEGURANÇA PÚBLICA, 2026). Em Porto Seguro, a ação policial respondeu por 45% das 130 mortes violentas registradas em 2025. No plano estadual, a Bahia somou 1.570 mortes por intervenção policial no mesmo ano, o maior número absoluto do país. Cumpre ressaltar que esse padrão não é racialmente neutro: estudos sobre abordagem e letalidade policial demonstram que a pertinência racial opera como critério de suspeição e de uso da força, inclusive em Salvador (RAMOS; MUSUMECI, 2005; ANUNCIAÇÃO; TRAD; FERREIRA, 2020; SINHORETTO; BATITUCCI, 2023).</w:t>
      </w:r>
    </w:p>
    <w:p>
      <w:pPr>
        <w:pStyle w:val="BodyText"/>
        <w:spacing w:line="360" w:lineRule="auto" w:before="0" w:after="120"/>
        <w:ind w:firstLine="709"/>
        <w:jc w:val="both"/>
      </w:pPr>
      <w:r>
        <w:rPr>
          <w:rFonts w:ascii="Times New Roman" w:hAnsi="Times New Roman" w:eastAsia="Times New Roman" w:cs="Times New Roman"/>
          <w:sz w:val="24"/>
        </w:rPr>
        <w:t xml:space="preserve">Ocorre que, na prática, a gestão desses programas apoia-se sobretudo em metas quantitativas, como a redução dos Crimes Violentos Letais e Intencionais (CVLI) e dos Crimes Violentos contra o Patrimônio (CVP), em registros de produtividade e em premiações por desempenho. Em outras palavras, tais instrumentos dizem muito sobre o que a polícia faz, mas pouco sobre como ela trata as pessoas com quem interage, e nada sobre quem, racialmente, suporta os custos dessa atuação. A aparência técnica e neutra desses controles pode, assim, encobrir a reprodução do racismo institucional, à semelhança do que Souza, Ferreira e Santos (2021) identificam no campo jurídico como dispositivo da branquitude.</w:t>
      </w:r>
    </w:p>
    <w:p>
      <w:pPr>
        <w:pStyle w:val="BodyText"/>
        <w:spacing w:line="360" w:lineRule="auto" w:before="0" w:after="120"/>
        <w:ind w:firstLine="709"/>
        <w:jc w:val="both"/>
      </w:pPr>
      <w:r>
        <w:rPr>
          <w:rFonts w:ascii="Times New Roman" w:hAnsi="Times New Roman" w:eastAsia="Times New Roman" w:cs="Times New Roman"/>
          <w:sz w:val="24"/>
        </w:rPr>
        <w:t xml:space="preserve">Nesse contexto, estudo anterior, desenvolvido em mestrado profissional sobre indicadores de desempenho na Polícia Militar da Bahia, mostrou que os instrumentos de controle perdem eficácia quando atuam de forma isolada e desarticulada, e que faltam mecanismos de natureza preventiva e ética, e não apenas punitiva. Aquele trabalho, contudo, restringiu-se à análise bibliográfica e documental em escala estadual e não incorporou a dimensão racial. Ficou por investigar, portanto, como esses controles funcionam no território e como são percebidos pelas populações negras, quilombolas e indígenas policiadas, lacuna que a presente tese pretende enfrentar.</w:t>
      </w:r>
    </w:p>
    <w:p>
      <w:pPr>
        <w:pStyle w:val="BodyText"/>
        <w:spacing w:line="360" w:lineRule="auto" w:before="0" w:after="120"/>
        <w:ind w:firstLine="709"/>
        <w:jc w:val="both"/>
      </w:pPr>
      <w:r>
        <w:rPr>
          <w:rFonts w:ascii="Times New Roman" w:hAnsi="Times New Roman" w:eastAsia="Times New Roman" w:cs="Times New Roman"/>
          <w:sz w:val="24"/>
        </w:rPr>
        <w:t xml:space="preserve">Fixada essa premissa, formula-se a seguinte questão de pesquisa: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de que maneira os mecanismos de controle democrático e de accountability que incidem sobre o policiamento comunitário no Extremo Sul da Bahia podem qualificar as relações da polícia com as populações negras e quilombolas e conferir maior legitimidade a esse modelo, sobretudo quando consideradas as especificidades culturais das comunidades atendidas?</w:t>
      </w:r>
    </w:p>
    <w:p>
      <w:pPr>
        <w:pStyle w:val="BodyText"/>
        <w:spacing w:line="360" w:lineRule="auto" w:before="0" w:after="120"/>
        <w:ind w:firstLine="709"/>
        <w:jc w:val="both"/>
      </w:pPr>
      <w:r>
        <w:rPr>
          <w:rFonts w:ascii="Times New Roman" w:hAnsi="Times New Roman" w:eastAsia="Times New Roman" w:cs="Times New Roman"/>
          <w:sz w:val="24"/>
        </w:rPr>
        <w:t xml:space="preserve">Do ponto de vista científico, o estudo desloca o debate da eficácia gerencial, isto é, se a polícia entrega resultados, para o problema da legitimação do poder, ou seja, se a polícia é reconhecida como justa e passível de controle pelos grupos que mais sofrem sua ação. Para tanto, articula a teoria da legitimidade procedimental, a literatura brasileira sobre controle da atividade policial e os estudos críticos sobre raça e Estado. Além disso, sua originalidade reside em tratar o controle como sistema, examinando em conjunto corregedoria, Ministério Público, ouvidoria, conselhos comunitários e imprensa, e em fazê-lo numa região interiorana marcada pelo turismo, por periferias urbanas negras e pela presença de povos indígenas e comunidades quilombolas, contexto pouco contemplado por uma produção concentrada nas capitais.</w:t>
      </w:r>
    </w:p>
    <w:p>
      <w:pPr>
        <w:pStyle w:val="BodyText"/>
        <w:spacing w:line="360" w:lineRule="auto" w:before="0" w:after="120"/>
        <w:ind w:firstLine="709"/>
        <w:jc w:val="both"/>
      </w:pPr>
      <w:r>
        <w:rPr>
          <w:rFonts w:ascii="Times New Roman" w:hAnsi="Times New Roman" w:eastAsia="Times New Roman" w:cs="Times New Roman"/>
          <w:sz w:val="24"/>
        </w:rPr>
        <w:t xml:space="preserve">Na dimensão social, a segurança pública constitui questão prioritária para a qualidade de vida no Sul da Bahia. Espera-se que a pesquisa ofereça subsídios para a construção de indicadores de legitimidade com recorte étnico-racial, em diálogo com a agenda do Objetivo de Desenvolvimento Sustentável 18 (Igualdade Étnico-Racial), bem como para o fortalecimento do controle social em âmbito local.</w:t>
      </w:r>
    </w:p>
    <w:p>
      <w:pPr>
        <w:pStyle w:val="BodyText"/>
        <w:spacing w:line="360" w:lineRule="auto" w:before="0" w:after="120"/>
        <w:ind w:firstLine="709"/>
        <w:jc w:val="both"/>
      </w:pPr>
      <w:r>
        <w:rPr>
          <w:rFonts w:ascii="Times New Roman" w:hAnsi="Times New Roman" w:eastAsia="Times New Roman" w:cs="Times New Roman"/>
          <w:sz w:val="24"/>
        </w:rPr>
        <w:t xml:space="preserve">Trata-se, portanto, de proposta que se insere na Linha 1 do PPGES, na medida em que toma o Estado como conjunto heterogêneo de instituições e se debruça sobre as dinâmicas do exercício do poder, os processos de legitimação, a relação entre Estado e sociedade civil, o pluralismo jurídico e as instâncias de controle de programas de governo. Dialoga, ainda, com a produção das orientadoras indicadas sobre racismo, sistema de justiça e segurança pública (SANTOS, 2025) e sobre a letalidade e o encarceramento da juventude negra (OLIVEIRA; TORRES; TORRES, 2018).</w:t>
      </w:r>
    </w:p>
    <w:bookmarkEnd w:id="20"/>
    <w:bookmarkStart w:id="21" w:name="objetivos-e-hipótese"/>
    <w:p>
      <w:pPr>
        <w:pStyle w:val="Heading2"/>
        <w:spacing w:line="360" w:lineRule="auto" w:before="240" w:after="120"/>
      </w:pPr>
      <w:r>
        <w:rPr>
          <w:rFonts w:ascii="Times New Roman" w:hAnsi="Times New Roman" w:eastAsia="Times New Roman" w:cs="Times New Roman"/>
          <w:b/>
          <w:i w:val="0"/>
          <w:sz w:val="24"/>
        </w:rPr>
        <w:t xml:space="preserve">2 OBJETIVOS E HIPÓTESE</w:t>
      </w:r>
    </w:p>
    <w:p>
      <w:pPr>
        <w:pStyle w:val="FirstParagraph"/>
        <w:spacing w:line="360" w:lineRule="auto" w:before="0" w:after="120"/>
        <w:ind w:firstLine="709"/>
        <w:jc w:val="both"/>
      </w:pPr>
      <w:r>
        <w:rPr>
          <w:bCs/>
          <w:rFonts w:ascii="Times New Roman" w:hAnsi="Times New Roman" w:eastAsia="Times New Roman" w:cs="Times New Roman"/>
          <w:b/>
          <w:sz w:val="24"/>
        </w:rPr>
        <w:t xml:space="preserve">Objetivo geral: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analisar como os mecanismos de controle interno, externo e social do policiamento comunitário no Extremo Sul da Bahia se articulam e em que medida contribuem para a legitimidade democrática da polícia perante as populações negras e quilombolas dos territórios atendidos.</w:t>
      </w:r>
    </w:p>
    <w:p>
      <w:pPr>
        <w:pStyle w:val="BodyText"/>
        <w:spacing w:line="360" w:lineRule="auto" w:before="0" w:after="120"/>
        <w:ind w:firstLine="709"/>
        <w:jc w:val="both"/>
      </w:pPr>
      <w:r>
        <w:rPr>
          <w:bCs/>
          <w:rFonts w:ascii="Times New Roman" w:hAnsi="Times New Roman" w:eastAsia="Times New Roman" w:cs="Times New Roman"/>
          <w:b/>
          <w:sz w:val="24"/>
        </w:rPr>
        <w:t xml:space="preserve">Objetivos específicos: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mapear as instâncias de controle que incidem sobre o policiamento comunitário na região, como a Corregedoria da Polícia Militar, o Ministério Público, a Ouvidoria, os conselhos comunitários de segurança e a imprensa local, identificando suas atribuições, fluxos e capacidades;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examinar de que modo os indicadores e as metas do programa Bahia pela Paz orientam a atuação das unidades comunitárias e se incorporam, ou silenciam, a dimensão racial da ação policial;</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compreender as percepções de policiais, gestores e moradores acerca da justiça procedimental, da confiança e da possibilidade de controle da polícia;</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verificar se essas percepções variam conforme raça, gênero, território e pertencimento a povos e comunidades tradicionais;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propor, em diálogo com os atores locais, uma matriz de indicadores de legitimidade com recorte étnico-racial, complementar aos indicadores de produtividade e alinhada à agenda do ODS 18.</w:t>
      </w:r>
    </w:p>
    <w:p>
      <w:pPr>
        <w:pStyle w:val="FirstParagraph"/>
        <w:spacing w:line="360" w:lineRule="auto" w:before="0" w:after="120"/>
        <w:ind w:firstLine="709"/>
        <w:jc w:val="both"/>
      </w:pPr>
      <w:r>
        <w:rPr>
          <w:bCs/>
          <w:rFonts w:ascii="Times New Roman" w:hAnsi="Times New Roman" w:eastAsia="Times New Roman" w:cs="Times New Roman"/>
          <w:b/>
          <w:sz w:val="24"/>
        </w:rPr>
        <w:t xml:space="preserve">Hipótese:</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os controles existentes operam de maneira fragmentada, predominantemente reativa e racialmente neutra apenas na aparência, o que produz conformidade com metas, mas pouca legitimidade junto às populações negras e quilombolas. Mecanismos articulados, abertos à participação comunitária e sensíveis às especificidades culturais dos territórios tenderiam a ampliar a confiança na polícia e a percepção de justiça procedimental.</w:t>
      </w:r>
    </w:p>
    <w:bookmarkEnd w:id="21"/>
    <w:bookmarkStart w:id="22" w:name="Xb5a9652102d8f3f8c1b007820e588b37874084c"/>
    <w:p>
      <w:pPr>
        <w:pStyle w:val="Heading2"/>
        <w:spacing w:line="360" w:lineRule="auto" w:before="240" w:after="120"/>
      </w:pPr>
      <w:r>
        <w:rPr>
          <w:rFonts w:ascii="Times New Roman" w:hAnsi="Times New Roman" w:eastAsia="Times New Roman" w:cs="Times New Roman"/>
          <w:b/>
          <w:i w:val="0"/>
          <w:sz w:val="24"/>
        </w:rPr>
        <w:t xml:space="preserve">3 FUNDAMENTAÇÃO TEÓRICA E REVISÃO DE LITERATURA</w:t>
      </w:r>
    </w:p>
    <w:p>
      <w:pPr>
        <w:pStyle w:val="FirstParagraph"/>
        <w:spacing w:line="360" w:lineRule="auto" w:before="0" w:after="120"/>
        <w:ind w:firstLine="709"/>
        <w:jc w:val="both"/>
      </w:pPr>
      <w:r>
        <w:rPr>
          <w:rFonts w:ascii="Times New Roman" w:hAnsi="Times New Roman" w:eastAsia="Times New Roman" w:cs="Times New Roman"/>
          <w:sz w:val="24"/>
        </w:rPr>
        <w:t xml:space="preserve">O referencial organiza-se em quatro eixos complementares: o Estado e a legitimação do poder; o controle democrático da polícia; o policiamento comunitário diante da gestão por resultados; e as relações entre raça, território e ação policial, que atravessa os demais.</w:t>
      </w:r>
    </w:p>
    <w:p>
      <w:pPr>
        <w:pStyle w:val="BodyText"/>
        <w:spacing w:line="360" w:lineRule="auto" w:before="0" w:after="120"/>
        <w:ind w:firstLine="709"/>
        <w:jc w:val="both"/>
      </w:pPr>
      <w:r>
        <w:rPr>
          <w:rFonts w:ascii="Times New Roman" w:hAnsi="Times New Roman" w:eastAsia="Times New Roman" w:cs="Times New Roman"/>
          <w:sz w:val="24"/>
        </w:rPr>
        <w:t xml:space="preserve">No primeiro eixo, parte-se da definição weberiana do Estado como detentor do monopólio legítimo da força física (WEBER, 2004), o que faz da polícia a expressão mais visível desse poder no cotidiano. Nessa linha de raciocínio, Beetham (1991) acrescenta que a legitimidade não se esgota na legalidade: ela depende também de crenças compartilhadas e do consentimento expresso dos governados. Com efeito, a teoria da justiça procedimental aprofunda esse argumento ao demonstrar que as pessoas cooperam com a polícia e obedecem à lei sobretudo quando se sentem tratadas com respeito e imparcialidade, e não apenas quando percebem a polícia como eficaz (SUNSHINE; TYLER, 2003; TYLER, 2006). No Brasil, por sua vez, essa perspectiva foi incorporada ao debate sobre reforma policial por Zanetic et al. (2016) e operacionalizada empiricamente por Oliveira, Oliveira e Adorno (2019), que propuseram um modelo de mensuração da legitimidade policial em São Paulo.</w:t>
      </w:r>
    </w:p>
    <w:p>
      <w:pPr>
        <w:pStyle w:val="BodyText"/>
        <w:spacing w:line="360" w:lineRule="auto" w:before="0" w:after="120"/>
        <w:ind w:firstLine="709"/>
        <w:jc w:val="both"/>
      </w:pPr>
      <w:r>
        <w:rPr>
          <w:rFonts w:ascii="Times New Roman" w:hAnsi="Times New Roman" w:eastAsia="Times New Roman" w:cs="Times New Roman"/>
          <w:sz w:val="24"/>
        </w:rPr>
        <w:t xml:space="preserve">No segundo eixo, Bayley (2001) e Skolnick e Bayley (2002) situam a prestação de contas como condição do policiamento democrático. No caso brasileiro, Lemgruber, Musumeci e Cano (2003) evidenciaram os limites de ouvidorias e corregedorias, enquanto Costa (2004) analisou os padrões de controle externo das polícias. Embora a Constituição de 1988 atribua ao Ministério Público o controle externo da atividade policial (art. 129, VII), sua efetividade segue limitada. Nesse sentido, ao examinar as diretrizes do Conselho Nacional do Ministério Público voltadas à redução da letalidade policial, Pedrosa Júnior, Monteiro e Nascimento (2023) concluíram que o arranjo institucional complexo, os interesses corporativos e a atuação deficiente de parte dos membros do órgão comprometeram sua execução. Já no plano interno, Araújo, Oliveira e Sampaio (2025) revisaram a produção sobre controle disciplinar nas polícias militares e constataram que ela se concentra em dissertações e apresenta fragilidades metodológicas, o que reforça a necessidade de estudos empíricos sobre o tema.</w:t>
      </w:r>
    </w:p>
    <w:p>
      <w:pPr>
        <w:pStyle w:val="BodyText"/>
        <w:spacing w:line="360" w:lineRule="auto" w:before="0" w:after="120"/>
        <w:ind w:firstLine="709"/>
        <w:jc w:val="both"/>
      </w:pPr>
      <w:r>
        <w:rPr>
          <w:rFonts w:ascii="Times New Roman" w:hAnsi="Times New Roman" w:eastAsia="Times New Roman" w:cs="Times New Roman"/>
          <w:sz w:val="24"/>
        </w:rPr>
        <w:t xml:space="preserve">No terceiro eixo, Sapori (2007) discute a adoção da gestão por resultados na segurança pública brasileira, e Santos e Gomes (2021), em revisão sistemática, mostram que não há metodologia única para avaliar o desempenho policial, devendo a mensuração corresponder aos objetivos de cada organização. Lui e Sales (2024), por sua vez, mapeiam a agenda do policiamento baseado em evidências. No que concerne ao policiamento comunitário, Muniz e Paes-Machado (2010) problematizam as experiências baianas, e Ferreira, Rossoni e Oliveira (2022) demonstram que esse modelo, incluindo as Bases Comunitárias da Bahia, é atravessado por quatro lógicas institucionais, a militar, a profissional, a gerencial e a comunitária, cuja tensão ajuda a explicar por que as metas gerenciais frequentemente se sobrepõem à proximidade. Não é menos verdade, contudo, que a participação social encontra limites na própria cultura policial: ao estudar os conselhos comunitários de segurança paulistas, Bueno, Lima e Teixeira (2016) mostram que o cidadão tende a ser tratado mais como demandante do que como sujeito da política.</w:t>
      </w:r>
    </w:p>
    <w:p>
      <w:pPr>
        <w:pStyle w:val="BodyText"/>
        <w:spacing w:line="360" w:lineRule="auto" w:before="0" w:after="120"/>
        <w:ind w:firstLine="709"/>
        <w:jc w:val="both"/>
      </w:pPr>
      <w:r>
        <w:rPr>
          <w:rFonts w:ascii="Times New Roman" w:hAnsi="Times New Roman" w:eastAsia="Times New Roman" w:cs="Times New Roman"/>
          <w:sz w:val="24"/>
        </w:rPr>
        <w:t xml:space="preserve">O quarto eixo confere ao projeto sua lente analítica. Na lição de Almeida (2019), o racismo é estrutural e se reproduz nas instituições mesmo sem intenção explícita, e Bento (2022) descreve o pacto narcísico da branquitude que sustenta essa reprodução nas organizações. No campo penal, Flauzina (2006) interpreta a seletividade do sistema como parte de um projeto genocida dirigido à população negra, leitura que encontra respaldo empírico nos dados sobre homicídio e encarceramento da juventude negra (OLIVEIRA; TORRES; TORRES, 2018) e na análise interseccional do encarceramento feminino negro (OLIVEIRA; SANTOS; ROCHA, 2021; AKOTIRENE, 2019). Especificamente quanto à Polícia Militar da Bahia, Silva (2021) evidenciou as ausências da discussão étnico-racial no currículo de formação policial, enquanto Santos (2025) examinou o impacto da Convenção Interamericana contra o Racismo sobre o sistema de justiça e segurança pública brasileiros, abrindo caminho para pensar o controle da polícia também como obrigação antirracista do Estado. Por fim, as categorias de amefricanidade (GONZALEZ, 1988) e de quilombismo (NASCIMENTO, 1980) permitem compreender periferias negras e comunidades quilombolas não como alvos do policiamento, mas como sujeitos políticos e portadores de formas próprias de organização e de juridicidade, o que dialoga com o pluralismo jurídico e a interculturalidade. É a partir daí que se indaga se o controle democrático e a accountability podem converter o policiamento comunitário em relação efetivamente legítima com esses territórios.</w:t>
      </w:r>
    </w:p>
    <w:p>
      <w:pPr>
        <w:pStyle w:val="BodyText"/>
        <w:spacing w:line="360" w:lineRule="auto" w:before="0" w:after="120"/>
        <w:ind w:firstLine="709"/>
        <w:jc w:val="both"/>
      </w:pPr>
      <w:r>
        <w:rPr>
          <w:rFonts w:ascii="Times New Roman" w:hAnsi="Times New Roman" w:eastAsia="Times New Roman" w:cs="Times New Roman"/>
          <w:sz w:val="24"/>
        </w:rPr>
        <w:t xml:space="preserve">Cumpre registrar, ainda, que a confiança na polícia, variável central para esta pesquisa, mostra-se baixa no país, mas sensível ao contexto: Rolim e Hermann (2018) verificaram, em Porto Alegre, níveis de confiança inferiores aos observados em cidades menores. Tal achado justifica, por conseguinte, investigar um contexto interiorano como o do Extremo Sul baiano. Nessa perspectiva, a noção de pluralismo jurídico, presente na descrição da Linha 1, oferece chave analítica para a relação entre a polícia e os povos indígenas e comunidades tradicionais da região.</w:t>
      </w:r>
    </w:p>
    <w:bookmarkEnd w:id="22"/>
    <w:bookmarkStart w:id="23" w:name="metodologia"/>
    <w:p>
      <w:pPr>
        <w:pStyle w:val="Heading2"/>
        <w:spacing w:line="360" w:lineRule="auto" w:before="240" w:after="120"/>
      </w:pPr>
      <w:r>
        <w:rPr>
          <w:rFonts w:ascii="Times New Roman" w:hAnsi="Times New Roman" w:eastAsia="Times New Roman" w:cs="Times New Roman"/>
          <w:b/>
          <w:i w:val="0"/>
          <w:sz w:val="24"/>
        </w:rPr>
        <w:t xml:space="preserve">4 METODOLOGIA</w:t>
      </w:r>
    </w:p>
    <w:p>
      <w:pPr>
        <w:pStyle w:val="FirstParagraph"/>
        <w:spacing w:line="360" w:lineRule="auto" w:before="0" w:after="120"/>
        <w:ind w:firstLine="709"/>
        <w:jc w:val="both"/>
      </w:pPr>
      <w:r>
        <w:rPr>
          <w:rFonts w:ascii="Times New Roman" w:hAnsi="Times New Roman" w:eastAsia="Times New Roman" w:cs="Times New Roman"/>
          <w:sz w:val="24"/>
        </w:rPr>
        <w:t xml:space="preserve">Trata-se de pesquisa de abordagem qualitativa, com apoio quantitativo descritivo, delineada como estudo de casos múltiplos em três recortes territoriais do Extremo Sul da Bahia. O caso principal é Porto Seguro, onde funciona a Base Comunitária de Segurança do Baianão/Frei Calixto e que registra a maior taxa de mortes por intervenção policial do país entre os de mais de 100 mil habitantes. Eunápolis, segunda colocada nesse indicador e sem base comunitária identificada, funcionará como caso de contraste. O terceiro recorte abrange comunidades quilombolas certificadas pela Fundação Cultural Palmares nos municípios de Caravelas e Nova Viçosa, como Volta Miúda e Helvécia, permitindo examinar a relação entre polícia e comunidades tradicionais. O quadro a seguir relaciona cada objetivo específico às fontes, aos instrumentos e à forma de análise.</w:t>
      </w:r>
    </w:p>
    <w:p>
      <w:pPr>
        <w:pStyle w:val="Legenda"/>
        <w:spacing w:line="240" w:lineRule="auto" w:before="120" w:after="80"/>
        <w:ind/>
        <w:jc w:val="center"/>
      </w:pPr>
      <w:r>
        <w:rPr>
          <w:rFonts w:ascii="Times New Roman" w:hAnsi="Times New Roman" w:eastAsia="Times New Roman" w:cs="Times New Roman"/>
          <w:b/>
          <w:sz w:val="20"/>
        </w:rPr>
        <w:t xml:space="preserve">Quadro 1 – Relação entre objetivos, fontes, instrumentos e análise</w:t>
      </w:r>
    </w:p>
    <w:tbl>
      <w:tblPr>
        <w:tblLayout w:type="fixed"/>
        <w:tblLook w:firstRow="1" w:lastRow="0" w:firstColumn="0" w:lastColumn="0" w:noHBand="0" w:noVBand="0" w:val="0020"/>
        <w:jc w:val="center"/>
        <w:tblBorders>
          <w:top w:val="single" w:sz="4" w:color="808080"/>
          <w:left w:val="single" w:sz="4" w:color="808080"/>
          <w:bottom w:val="single" w:sz="4" w:color="808080"/>
          <w:right w:val="single" w:sz="4" w:color="808080"/>
          <w:insideH w:val="single" w:sz="4" w:color="808080"/>
          <w:insideV w:val="single" w:sz="4" w:color="808080"/>
        </w:tblBorders>
        <w:tblW w:w="9639" w:type="dxa"/>
        <w:tblLayout w:type="fixed"/>
      </w:tblPr>
      <w:tblGrid>
        <w:gridCol w:w="2041"/>
        <w:gridCol w:w="3175"/>
        <w:gridCol w:w="2268"/>
        <w:gridCol w:w="2154"/>
      </w:tblGrid>
      <w:tr>
        <w:trPr>
          <w:tblHeader w:val="true"/>
          <w:cantSplit/>
          <w:tblHeader/>
        </w:trPr>
        <w:tc>
          <w:tcPr>
            <w:tcW w:type="dxa" w:w="2041"/>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Objetivo</w:t>
            </w:r>
          </w:p>
        </w:tc>
        <w:tc>
          <w:tcPr>
            <w:tcW w:type="dxa" w:w="3175"/>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Participantes e fontes</w:t>
            </w:r>
          </w:p>
        </w:tc>
        <w:tc>
          <w:tcPr>
            <w:tcW w:type="dxa" w:w="2268"/>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Instrumento</w:t>
            </w:r>
          </w:p>
        </w:tc>
        <w:tc>
          <w:tcPr>
            <w:tcW w:type="dxa" w:w="215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Análise</w:t>
            </w:r>
          </w:p>
        </w:tc>
      </w:tr>
      <w:tr>
        <w:trPr>
          <w:cantSplit/>
        </w:trPr>
        <w:tc>
          <w:tcPr>
            <w:tcW w:type="dxa" w:w="204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 Mapear as instâncias de controle</w:t>
            </w:r>
          </w:p>
        </w:tc>
        <w:tc>
          <w:tcPr>
            <w:tcW w:type="dxa" w:w="3175"/>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Normas, relatórios da Corregedoria, do MP-BA e da Ouvidoria; atas de conselhos comunitários</w:t>
            </w:r>
          </w:p>
        </w:tc>
        <w:tc>
          <w:tcPr>
            <w:tcW w:type="dxa" w:w="226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Pesquisa documental e pedidos via Lei de Acesso à Informação</w:t>
            </w:r>
          </w:p>
        </w:tc>
        <w:tc>
          <w:tcPr>
            <w:tcW w:type="dxa" w:w="215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documental e de fluxos institucionais</w:t>
            </w:r>
          </w:p>
        </w:tc>
      </w:tr>
      <w:tr>
        <w:trPr>
          <w:cantSplit/>
        </w:trPr>
        <w:tc>
          <w:tcPr>
            <w:tcW w:type="dxa" w:w="2041"/>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b) Examinar os indicadores do Bahia pela Paz</w:t>
            </w:r>
          </w:p>
        </w:tc>
        <w:tc>
          <w:tcPr>
            <w:tcW w:type="dxa" w:w="3175"/>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Bases de dados da SSP-BA, planos de metas e registros de mortes por intervenção policial desagregados por raça/cor</w:t>
            </w:r>
          </w:p>
        </w:tc>
        <w:tc>
          <w:tcPr>
            <w:tcW w:type="dxa" w:w="2268"/>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Coleta de séries históricas (2015-2026)</w:t>
            </w:r>
          </w:p>
        </w:tc>
        <w:tc>
          <w:tcPr>
            <w:tcW w:type="dxa" w:w="215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Estatística descritiva</w:t>
            </w:r>
          </w:p>
        </w:tc>
      </w:tr>
      <w:tr>
        <w:trPr>
          <w:cantSplit/>
        </w:trPr>
        <w:tc>
          <w:tcPr>
            <w:tcW w:type="dxa" w:w="204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c) Compreender as percepções dos atores</w:t>
            </w:r>
          </w:p>
        </w:tc>
        <w:tc>
          <w:tcPr>
            <w:tcW w:type="dxa" w:w="3175"/>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Cerca de 30 participantes: policiais, gestores, promotores de justiça, conselheiros e lideranças comunitárias e quilombolas</w:t>
            </w:r>
          </w:p>
        </w:tc>
        <w:tc>
          <w:tcPr>
            <w:tcW w:type="dxa" w:w="226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Entrevistas semiestruturadas</w:t>
            </w:r>
          </w:p>
        </w:tc>
        <w:tc>
          <w:tcPr>
            <w:tcW w:type="dxa" w:w="215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de conteúdo (BARDIN, 2016)</w:t>
            </w:r>
          </w:p>
        </w:tc>
      </w:tr>
      <w:tr>
        <w:trPr>
          <w:cantSplit/>
        </w:trPr>
        <w:tc>
          <w:tcPr>
            <w:tcW w:type="dxa" w:w="2041"/>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d) Verificar variações por raça, gênero e território</w:t>
            </w:r>
          </w:p>
        </w:tc>
        <w:tc>
          <w:tcPr>
            <w:tcW w:type="dxa" w:w="3175"/>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Moradores do Baianão e de Eunápolis e membros das comunidades quilombolas</w:t>
            </w:r>
          </w:p>
        </w:tc>
        <w:tc>
          <w:tcPr>
            <w:tcW w:type="dxa" w:w="2268"/>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Grupos focais (de dois a quatro) e questionário breve sobre confiança</w:t>
            </w:r>
          </w:p>
        </w:tc>
        <w:tc>
          <w:tcPr>
            <w:tcW w:type="dxa" w:w="215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Análise comparativa e interseccional</w:t>
            </w:r>
          </w:p>
        </w:tc>
      </w:tr>
      <w:tr>
        <w:trPr>
          <w:cantSplit/>
        </w:trPr>
        <w:tc>
          <w:tcPr>
            <w:tcW w:type="dxa" w:w="204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e) Propor a matriz de indicadores</w:t>
            </w:r>
          </w:p>
        </w:tc>
        <w:tc>
          <w:tcPr>
            <w:tcW w:type="dxa" w:w="3175"/>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Participantes das etapas anteriores</w:t>
            </w:r>
          </w:p>
        </w:tc>
        <w:tc>
          <w:tcPr>
            <w:tcW w:type="dxa" w:w="226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Oficina devolutiva</w:t>
            </w:r>
          </w:p>
        </w:tc>
        <w:tc>
          <w:tcPr>
            <w:tcW w:type="dxa" w:w="215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Síntese participativa</w:t>
            </w:r>
          </w:p>
        </w:tc>
      </w:tr>
    </w:tbl>
    <w:p>
      <w:pPr>
        <w:pStyle w:val="Fonte"/>
        <w:spacing w:line="240" w:lineRule="auto" w:before="40" w:after="240"/>
        <w:ind/>
        <w:jc w:val="left"/>
      </w:pPr>
      <w:r>
        <w:rPr>
          <w:rFonts w:ascii="Times New Roman" w:hAnsi="Times New Roman" w:eastAsia="Times New Roman" w:cs="Times New Roman"/>
          <w:b w:val="0"/>
          <w:sz w:val="20"/>
        </w:rPr>
        <w:t xml:space="preserve">Fonte: elaborado pelo autor.</w:t>
      </w:r>
    </w:p>
    <w:p>
      <w:pPr>
        <w:pStyle w:val="BodyText"/>
        <w:spacing w:line="360" w:lineRule="auto" w:before="0" w:after="120"/>
        <w:ind w:firstLine="709"/>
        <w:jc w:val="both"/>
      </w:pPr>
      <w:r>
        <w:rPr>
          <w:bCs/>
          <w:rFonts w:ascii="Times New Roman" w:hAnsi="Times New Roman" w:eastAsia="Times New Roman" w:cs="Times New Roman"/>
          <w:b/>
          <w:sz w:val="24"/>
        </w:rPr>
        <w:t xml:space="preserve">Considerações éticas.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 projeto será submetido ao Comitê de Ética em Pesquisa, nos termos das Resoluções CNS nº 466/2012 e nº 510/2016, assegurando-se o consentimento livre e esclarecido e o anonimato dos participantes. No caso de povos indígenas e comunidades tradicionais, haverá consulta prévia às lideranças e, quando exigido, apreciação pela Comissão Nacional de Ética em Pesquisa. De igual modo, será solicitada a anuência institucional da Polícia Militar. O vínculo profissional do pesquisador com a instituição estudada será tratado com reflexividade, reconhecido tanto como limite potencial quanto como condição privilegiada de acesso ao campo.</w:t>
      </w:r>
    </w:p>
    <w:bookmarkEnd w:id="23"/>
    <w:bookmarkStart w:id="24" w:name="resultados-esperados"/>
    <w:p>
      <w:pPr>
        <w:pStyle w:val="Heading2"/>
        <w:spacing w:line="360" w:lineRule="auto" w:before="240" w:after="120"/>
      </w:pPr>
      <w:r>
        <w:rPr>
          <w:rFonts w:ascii="Times New Roman" w:hAnsi="Times New Roman" w:eastAsia="Times New Roman" w:cs="Times New Roman"/>
          <w:b/>
          <w:i w:val="0"/>
          <w:sz w:val="24"/>
        </w:rPr>
        <w:t xml:space="preserve">5 RESULTADOS ESPERADOS</w:t>
      </w:r>
    </w:p>
    <w:p>
      <w:pPr>
        <w:pStyle w:val="FirstParagraph"/>
        <w:spacing w:line="360" w:lineRule="auto" w:before="0" w:after="120"/>
        <w:ind w:firstLine="709"/>
        <w:jc w:val="both"/>
      </w:pPr>
      <w:r>
        <w:rPr>
          <w:rFonts w:ascii="Times New Roman" w:hAnsi="Times New Roman" w:eastAsia="Times New Roman" w:cs="Times New Roman"/>
          <w:sz w:val="24"/>
        </w:rPr>
        <w:t xml:space="preserve">No plano acadêmico, espera-se construir um modelo analítico que compreenda o controle policial como sistema articulado e o relacione à legitimidade, e não apenas à eficiência, incorporando a dimensão racial ao debate sobre accountability policial, contribuição inédita para o estudo do interior baiano. No âmbito da Linha 1, a tese deverá oferecer evidências sobre os processos de legitimação do Estado, a relação entre burocracia policial e sociedade civil e a fiscalização de programas de governo. Por fim, no plano social e profissional, pretende-se entregar à Secretaria da Segurança Pública, ao Ministério Público e aos conselhos comunitários uma matriz de indicadores de legitimidade com recorte étnico-racial, além de divulgar os resultados em artigos científicos e em oficinas devolutivas nas comunidades participantes.</w:t>
      </w:r>
    </w:p>
    <w:bookmarkEnd w:id="24"/>
    <w:bookmarkStart w:id="25" w:name="cronograma"/>
    <w:p>
      <w:pPr>
        <w:pStyle w:val="Heading2"/>
        <w:spacing w:line="360" w:lineRule="auto" w:before="240" w:after="120"/>
      </w:pPr>
      <w:r>
        <w:rPr>
          <w:rFonts w:ascii="Times New Roman" w:hAnsi="Times New Roman" w:eastAsia="Times New Roman" w:cs="Times New Roman"/>
          <w:b/>
          <w:i w:val="0"/>
          <w:sz w:val="24"/>
        </w:rPr>
        <w:t xml:space="preserve">6 CRONOGRAMA</w:t>
      </w:r>
    </w:p>
    <w:p>
      <w:pPr>
        <w:pStyle w:val="Legenda"/>
        <w:spacing w:line="240" w:lineRule="auto" w:before="120" w:after="80"/>
        <w:ind/>
        <w:jc w:val="center"/>
      </w:pPr>
      <w:r>
        <w:rPr>
          <w:rFonts w:ascii="Times New Roman" w:hAnsi="Times New Roman" w:eastAsia="Times New Roman" w:cs="Times New Roman"/>
          <w:b/>
          <w:sz w:val="20"/>
        </w:rPr>
        <w:t xml:space="preserve">Quadro 2 – Cronograma de execução da pesquisa</w:t>
      </w:r>
    </w:p>
    <w:tbl>
      <w:tblPr>
        <w:tblLayout w:type="fixed"/>
        <w:tblLook w:firstRow="1" w:lastRow="0" w:firstColumn="0" w:lastColumn="0" w:noHBand="0" w:noVBand="0" w:val="0020"/>
        <w:jc w:val="center"/>
        <w:tblBorders>
          <w:top w:val="single" w:sz="4" w:color="808080"/>
          <w:left w:val="single" w:sz="4" w:color="808080"/>
          <w:bottom w:val="single" w:sz="4" w:color="808080"/>
          <w:right w:val="single" w:sz="4" w:color="808080"/>
          <w:insideH w:val="single" w:sz="4" w:color="808080"/>
          <w:insideV w:val="single" w:sz="4" w:color="808080"/>
        </w:tblBorders>
        <w:tblW w:w="9639" w:type="dxa"/>
        <w:tblLayout w:type="fixed"/>
      </w:tblPr>
      <w:tblGrid>
        <w:gridCol w:w="1814"/>
        <w:gridCol w:w="7824"/>
      </w:tblGrid>
      <w:tr>
        <w:trPr>
          <w:tblHeader w:val="true"/>
          <w:cantSplit/>
          <w:tblHeader/>
        </w:trPr>
        <w:tc>
          <w:tcPr>
            <w:tcW w:type="dxa" w:w="181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Período</w:t>
            </w:r>
          </w:p>
        </w:tc>
        <w:tc>
          <w:tcPr>
            <w:tcW w:type="dxa" w:w="782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Atividades</w:t>
            </w:r>
          </w:p>
        </w:tc>
      </w:tr>
      <w:tr>
        <w:trPr>
          <w:cantSplit/>
        </w:trPr>
        <w:tc>
          <w:tcPr>
            <w:tcW w:type="dxa" w:w="181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Ano 1 (2027)</w:t>
            </w:r>
          </w:p>
        </w:tc>
        <w:tc>
          <w:tcPr>
            <w:tcW w:type="dxa" w:w="782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Cumprimento de disciplinas; revisão de literatura; pesquisa documental e pedidos via Lei de Acesso à Informação; submissão ao Comitê de Ética</w:t>
            </w:r>
          </w:p>
        </w:tc>
      </w:tr>
      <w:tr>
        <w:trPr>
          <w:cantSplit/>
        </w:trPr>
        <w:tc>
          <w:tcPr>
            <w:tcW w:type="dxa" w:w="181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Ano 2 (2028)</w:t>
            </w:r>
          </w:p>
        </w:tc>
        <w:tc>
          <w:tcPr>
            <w:tcW w:type="dxa" w:w="782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Entrevistas e grupos focais; análise das séries de indicadores; exame de qualificação</w:t>
            </w:r>
          </w:p>
        </w:tc>
      </w:tr>
      <w:tr>
        <w:trPr>
          <w:cantSplit/>
        </w:trPr>
        <w:tc>
          <w:tcPr>
            <w:tcW w:type="dxa" w:w="181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Ano 3 (2029)</w:t>
            </w:r>
          </w:p>
        </w:tc>
        <w:tc>
          <w:tcPr>
            <w:tcW w:type="dxa" w:w="782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dos dados; publicação de artigos; oficina devolutiva</w:t>
            </w:r>
          </w:p>
        </w:tc>
      </w:tr>
      <w:tr>
        <w:trPr>
          <w:cantSplit/>
        </w:trPr>
        <w:tc>
          <w:tcPr>
            <w:tcW w:type="dxa" w:w="181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Ano 4 (2030)</w:t>
            </w:r>
          </w:p>
        </w:tc>
        <w:tc>
          <w:tcPr>
            <w:tcW w:type="dxa" w:w="782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Elaboração da matriz de indicadores; redação final; defesa</w:t>
            </w:r>
          </w:p>
        </w:tc>
      </w:tr>
    </w:tbl>
    <w:p>
      <w:pPr>
        <w:pStyle w:val="Fonte"/>
        <w:spacing w:line="240" w:lineRule="auto" w:before="40" w:after="240"/>
        <w:ind/>
        <w:jc w:val="left"/>
      </w:pPr>
      <w:r>
        <w:rPr>
          <w:rFonts w:ascii="Times New Roman" w:hAnsi="Times New Roman" w:eastAsia="Times New Roman" w:cs="Times New Roman"/>
          <w:b w:val="0"/>
          <w:sz w:val="20"/>
        </w:rPr>
        <w:t xml:space="preserve">Fonte: elaborado pelo autor.</w:t>
      </w:r>
    </w:p>
    <w:bookmarkEnd w:id="25"/>
    <w:bookmarkStart w:id="26" w:name="referências"/>
    <w:p>
      <w:pPr>
        <w:pStyle w:val="Heading2"/>
        <w:spacing w:line="360" w:lineRule="auto" w:before="240" w:after="120"/>
      </w:pPr>
      <w:r>
        <w:rPr>
          <w:rFonts w:ascii="Times New Roman" w:hAnsi="Times New Roman" w:eastAsia="Times New Roman" w:cs="Times New Roman"/>
          <w:b/>
          <w:i w:val="0"/>
          <w:sz w:val="24"/>
        </w:rPr>
        <w:t xml:space="preserve">REFERÊNCIAS</w:t>
      </w:r>
    </w:p>
    <w:p>
      <w:pPr>
        <w:pStyle w:val="FirstParagraph"/>
        <w:spacing w:line="240" w:lineRule="auto" w:before="0" w:after="240"/>
        <w:jc w:val="left"/>
      </w:pPr>
      <w:r>
        <w:rPr>
          <w:rFonts w:ascii="Times New Roman" w:hAnsi="Times New Roman" w:eastAsia="Times New Roman" w:cs="Times New Roman"/>
          <w:sz w:val="24"/>
        </w:rPr>
        <w:t xml:space="preserve">AKOTIRENE, C.</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Interseccionalidade</w:t>
      </w:r>
      <w:r>
        <w:rPr>
          <w:rFonts w:ascii="Times New Roman" w:hAnsi="Times New Roman" w:eastAsia="Times New Roman" w:cs="Times New Roman"/>
          <w:sz w:val="24"/>
        </w:rPr>
        <w:t xml:space="preserve">. São Paulo: Pólen, 2019.</w:t>
      </w:r>
    </w:p>
    <w:p>
      <w:pPr>
        <w:pStyle w:val="BodyText"/>
        <w:spacing w:line="240" w:lineRule="auto" w:before="0" w:after="240"/>
        <w:jc w:val="left"/>
      </w:pPr>
      <w:r>
        <w:rPr>
          <w:rFonts w:ascii="Times New Roman" w:hAnsi="Times New Roman" w:eastAsia="Times New Roman" w:cs="Times New Roman"/>
          <w:sz w:val="24"/>
        </w:rPr>
        <w:t xml:space="preserve">ALMEIDA, S.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Racismo estrutural</w:t>
      </w:r>
      <w:r>
        <w:rPr>
          <w:rFonts w:ascii="Times New Roman" w:hAnsi="Times New Roman" w:eastAsia="Times New Roman" w:cs="Times New Roman"/>
          <w:sz w:val="24"/>
        </w:rPr>
        <w:t xml:space="preserve">. São Paulo: Pólen, 2019.</w:t>
      </w:r>
    </w:p>
    <w:p>
      <w:pPr>
        <w:pStyle w:val="BodyText"/>
        <w:spacing w:line="240" w:lineRule="auto" w:before="0" w:after="240"/>
        <w:jc w:val="left"/>
      </w:pPr>
      <w:r>
        <w:rPr>
          <w:rFonts w:ascii="Times New Roman" w:hAnsi="Times New Roman" w:eastAsia="Times New Roman" w:cs="Times New Roman"/>
          <w:sz w:val="24"/>
        </w:rPr>
        <w:t xml:space="preserve">ANUNCIAÇÃO, D.; TRAD, L. A. B.; FERREIRA, T.</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Mão na cabeça!</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 abordagem policial, racismo e violência estrutural entre jovens negros de três capitais do Nordeste.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Saúde e Sociedade</w:t>
      </w:r>
      <w:r>
        <w:rPr>
          <w:rFonts w:ascii="Times New Roman" w:hAnsi="Times New Roman" w:eastAsia="Times New Roman" w:cs="Times New Roman"/>
          <w:sz w:val="24"/>
        </w:rPr>
        <w:t xml:space="preserve">, São Paulo, v. 29, n. 1, e190271, 2020. DOI: 10.1590/S0104-12902020190271.</w:t>
      </w:r>
    </w:p>
    <w:p>
      <w:pPr>
        <w:pStyle w:val="BodyText"/>
        <w:spacing w:line="240" w:lineRule="auto" w:before="0" w:after="240"/>
        <w:jc w:val="left"/>
      </w:pPr>
      <w:r>
        <w:rPr>
          <w:rFonts w:ascii="Times New Roman" w:hAnsi="Times New Roman" w:eastAsia="Times New Roman" w:cs="Times New Roman"/>
          <w:sz w:val="24"/>
        </w:rPr>
        <w:t xml:space="preserve">ARAÚJO, E. M.; OLIVEIRA, R. R. S.; SAMPAIO, A. A. S. Qualidade metodológica das pesquisas documentais sobre controle disciplinar interno da Polícia Militar: revisão sistemática da literatura.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Segurança Pública</w:t>
      </w:r>
      <w:r>
        <w:rPr>
          <w:rFonts w:ascii="Times New Roman" w:hAnsi="Times New Roman" w:eastAsia="Times New Roman" w:cs="Times New Roman"/>
          <w:sz w:val="24"/>
        </w:rPr>
        <w:t xml:space="preserve">, São Paulo, v. 19, n. 1, p. 342-357, fev./mar. 2025.</w:t>
      </w:r>
    </w:p>
    <w:p>
      <w:pPr>
        <w:pStyle w:val="BodyText"/>
        <w:spacing w:line="240" w:lineRule="auto" w:before="0" w:after="240"/>
        <w:jc w:val="left"/>
      </w:pPr>
      <w:r>
        <w:rPr>
          <w:rFonts w:ascii="Times New Roman" w:hAnsi="Times New Roman" w:eastAsia="Times New Roman" w:cs="Times New Roman"/>
          <w:sz w:val="24"/>
        </w:rPr>
        <w:t xml:space="preserve">BARDIN,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Análise de conteúdo</w:t>
      </w:r>
      <w:r>
        <w:rPr>
          <w:rFonts w:ascii="Times New Roman" w:hAnsi="Times New Roman" w:eastAsia="Times New Roman" w:cs="Times New Roman"/>
          <w:sz w:val="24"/>
        </w:rPr>
        <w:t xml:space="preserve">. São Paulo: Edições 70, 2016.</w:t>
      </w:r>
    </w:p>
    <w:p>
      <w:pPr>
        <w:pStyle w:val="BodyText"/>
        <w:spacing w:line="240" w:lineRule="auto" w:before="0" w:after="240"/>
        <w:jc w:val="left"/>
      </w:pPr>
      <w:r>
        <w:rPr>
          <w:rFonts w:ascii="Times New Roman" w:hAnsi="Times New Roman" w:eastAsia="Times New Roman" w:cs="Times New Roman"/>
          <w:sz w:val="24"/>
        </w:rPr>
        <w:t xml:space="preserve">BAYLEY, D. H.</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Padrões de policiamento</w:t>
      </w:r>
      <w:r>
        <w:rPr>
          <w:rFonts w:ascii="Times New Roman" w:hAnsi="Times New Roman" w:eastAsia="Times New Roman" w:cs="Times New Roman"/>
          <w:sz w:val="24"/>
        </w:rPr>
        <w:t xml:space="preserve">: uma análise internacional comparativa. São Paulo: Edusp, 2001.</w:t>
      </w:r>
    </w:p>
    <w:p>
      <w:pPr>
        <w:pStyle w:val="BodyText"/>
        <w:spacing w:line="240" w:lineRule="auto" w:before="0" w:after="240"/>
        <w:jc w:val="left"/>
      </w:pPr>
      <w:r>
        <w:rPr>
          <w:rFonts w:ascii="Times New Roman" w:hAnsi="Times New Roman" w:eastAsia="Times New Roman" w:cs="Times New Roman"/>
          <w:sz w:val="24"/>
        </w:rPr>
        <w:t xml:space="preserve">BEETHAM, D.</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The legitimation of power</w:t>
      </w:r>
      <w:r>
        <w:rPr>
          <w:rFonts w:ascii="Times New Roman" w:hAnsi="Times New Roman" w:eastAsia="Times New Roman" w:cs="Times New Roman"/>
          <w:sz w:val="24"/>
        </w:rPr>
        <w:t xml:space="preserve">. London: Macmillan, 1991.</w:t>
      </w:r>
    </w:p>
    <w:p>
      <w:pPr>
        <w:pStyle w:val="BodyText"/>
        <w:spacing w:line="240" w:lineRule="auto" w:before="0" w:after="240"/>
        <w:jc w:val="left"/>
      </w:pPr>
      <w:r>
        <w:rPr>
          <w:rFonts w:ascii="Times New Roman" w:hAnsi="Times New Roman" w:eastAsia="Times New Roman" w:cs="Times New Roman"/>
          <w:sz w:val="24"/>
        </w:rPr>
        <w:t xml:space="preserve">BENTO, C.</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 pacto da branquitude</w:t>
      </w:r>
      <w:r>
        <w:rPr>
          <w:rFonts w:ascii="Times New Roman" w:hAnsi="Times New Roman" w:eastAsia="Times New Roman" w:cs="Times New Roman"/>
          <w:sz w:val="24"/>
        </w:rPr>
        <w:t xml:space="preserve">. São Paulo: Companhia das Letras, 2022.</w:t>
      </w:r>
    </w:p>
    <w:p>
      <w:pPr>
        <w:pStyle w:val="BodyText"/>
        <w:spacing w:line="240" w:lineRule="auto" w:before="0" w:after="240"/>
        <w:jc w:val="left"/>
      </w:pPr>
      <w:r>
        <w:rPr>
          <w:rFonts w:ascii="Times New Roman" w:hAnsi="Times New Roman" w:eastAsia="Times New Roman" w:cs="Times New Roman"/>
          <w:sz w:val="24"/>
        </w:rPr>
        <w:t xml:space="preserve">BUENO, S.; LIMA, R. S.; TEIXEIRA, M. A. C. Sujeito ou demandante? Reflexões sobre o caráter da participação nos conselhos comunitários de segurança de São Paulo.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Sociologias</w:t>
      </w:r>
      <w:r>
        <w:rPr>
          <w:rFonts w:ascii="Times New Roman" w:hAnsi="Times New Roman" w:eastAsia="Times New Roman" w:cs="Times New Roman"/>
          <w:sz w:val="24"/>
        </w:rPr>
        <w:t xml:space="preserve">, Porto Alegre, v. 18, n. 42, p. 328-355, 2016. DOI: 10.1590/15174522-018004214.</w:t>
      </w:r>
    </w:p>
    <w:p>
      <w:pPr>
        <w:pStyle w:val="BodyText"/>
        <w:spacing w:line="240" w:lineRule="auto" w:before="0" w:after="240"/>
        <w:jc w:val="left"/>
      </w:pPr>
      <w:r>
        <w:rPr>
          <w:rFonts w:ascii="Times New Roman" w:hAnsi="Times New Roman" w:eastAsia="Times New Roman" w:cs="Times New Roman"/>
          <w:sz w:val="24"/>
        </w:rPr>
        <w:t xml:space="preserve">COSTA, A. T. M.</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Entre a lei e a ordem</w:t>
      </w:r>
      <w:r>
        <w:rPr>
          <w:rFonts w:ascii="Times New Roman" w:hAnsi="Times New Roman" w:eastAsia="Times New Roman" w:cs="Times New Roman"/>
          <w:sz w:val="24"/>
        </w:rPr>
        <w:t xml:space="preserve">: violência e reforma nas polícias do Rio de Janeiro e Nova York. Rio de Janeiro: Editora FGV, 2004.</w:t>
      </w:r>
    </w:p>
    <w:p>
      <w:pPr>
        <w:pStyle w:val="BodyText"/>
        <w:spacing w:line="240" w:lineRule="auto" w:before="0" w:after="240"/>
        <w:jc w:val="left"/>
      </w:pPr>
      <w:r>
        <w:rPr>
          <w:rFonts w:ascii="Times New Roman" w:hAnsi="Times New Roman" w:eastAsia="Times New Roman" w:cs="Times New Roman"/>
          <w:sz w:val="24"/>
        </w:rPr>
        <w:t xml:space="preserve">FERREIRA, D. V. S.; ROSSONI, L.; OLIVEIRA, C. R. Lógicas institucionais do policiamento comunitário: esquema analítico e agenda de pesquisa para o contexto brasileiro.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de Administração Pública</w:t>
      </w:r>
      <w:r>
        <w:rPr>
          <w:rFonts w:ascii="Times New Roman" w:hAnsi="Times New Roman" w:eastAsia="Times New Roman" w:cs="Times New Roman"/>
          <w:sz w:val="24"/>
        </w:rPr>
        <w:t xml:space="preserve">, Rio de Janeiro, v. 56, n. 1, p. 134-162, jan./fev. 2022. DOI: 10.1590/0034-761220210122.</w:t>
      </w:r>
    </w:p>
    <w:p>
      <w:pPr>
        <w:pStyle w:val="BodyText"/>
        <w:spacing w:line="240" w:lineRule="auto" w:before="0" w:after="240"/>
        <w:jc w:val="left"/>
      </w:pPr>
      <w:r>
        <w:rPr>
          <w:rFonts w:ascii="Times New Roman" w:hAnsi="Times New Roman" w:eastAsia="Times New Roman" w:cs="Times New Roman"/>
          <w:sz w:val="24"/>
        </w:rPr>
        <w:t xml:space="preserve">FLAUZINA, A. L. P.</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Corpo negro caído no chão</w:t>
      </w:r>
      <w:r>
        <w:rPr>
          <w:rFonts w:ascii="Times New Roman" w:hAnsi="Times New Roman" w:eastAsia="Times New Roman" w:cs="Times New Roman"/>
          <w:sz w:val="24"/>
        </w:rPr>
        <w:t xml:space="preserve">: o sistema penal e o projeto genocida do Estado brasileiro. 2006. Dissertação (Mestrado em Direito) – Universidade de Brasília, Brasília, 2006.</w:t>
      </w:r>
    </w:p>
    <w:p>
      <w:pPr>
        <w:pStyle w:val="BodyText"/>
        <w:spacing w:line="240" w:lineRule="auto" w:before="0" w:after="240"/>
        <w:jc w:val="left"/>
      </w:pPr>
      <w:r>
        <w:rPr>
          <w:rFonts w:ascii="Times New Roman" w:hAnsi="Times New Roman" w:eastAsia="Times New Roman" w:cs="Times New Roman"/>
          <w:sz w:val="24"/>
        </w:rPr>
        <w:t xml:space="preserve">FÓRUM BRASILEIRO DE SEGURANÇA PÚBLICA.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Anuário Brasileiro de Segurança Pública 2026</w:t>
      </w:r>
      <w:r>
        <w:rPr>
          <w:rFonts w:ascii="Times New Roman" w:hAnsi="Times New Roman" w:eastAsia="Times New Roman" w:cs="Times New Roman"/>
          <w:sz w:val="24"/>
        </w:rPr>
        <w:t xml:space="preserve">. São Paulo: FBSP, 2026.</w:t>
      </w:r>
    </w:p>
    <w:p>
      <w:pPr>
        <w:pStyle w:val="BodyText"/>
        <w:spacing w:line="240" w:lineRule="auto" w:before="0" w:after="240"/>
        <w:jc w:val="left"/>
      </w:pPr>
      <w:r>
        <w:rPr>
          <w:rFonts w:ascii="Times New Roman" w:hAnsi="Times New Roman" w:eastAsia="Times New Roman" w:cs="Times New Roman"/>
          <w:sz w:val="24"/>
        </w:rPr>
        <w:t xml:space="preserve">GONZALEZ, L. A categoria político-cultural de amefricanidade.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Tempo Brasileiro</w:t>
      </w:r>
      <w:r>
        <w:rPr>
          <w:rFonts w:ascii="Times New Roman" w:hAnsi="Times New Roman" w:eastAsia="Times New Roman" w:cs="Times New Roman"/>
          <w:sz w:val="24"/>
        </w:rPr>
        <w:t xml:space="preserve">, Rio de Janeiro, n. 92/93, p. 69-82, jan./jun. 1988.</w:t>
      </w:r>
    </w:p>
    <w:p>
      <w:pPr>
        <w:pStyle w:val="BodyText"/>
        <w:spacing w:line="240" w:lineRule="auto" w:before="0" w:after="240"/>
        <w:jc w:val="left"/>
      </w:pPr>
      <w:r>
        <w:rPr>
          <w:rFonts w:ascii="Times New Roman" w:hAnsi="Times New Roman" w:eastAsia="Times New Roman" w:cs="Times New Roman"/>
          <w:sz w:val="24"/>
        </w:rPr>
        <w:t xml:space="preserve">LEMGRUBER, J.; MUSUMECI, L.; CANO, I.</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Quem vigia os vigias?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Um estudo sobre controle externo da polícia no Brasil. Rio de Janeiro: Record, 2003.</w:t>
      </w:r>
    </w:p>
    <w:p>
      <w:pPr>
        <w:pStyle w:val="BodyText"/>
        <w:spacing w:line="240" w:lineRule="auto" w:before="0" w:after="240"/>
        <w:jc w:val="left"/>
      </w:pPr>
      <w:r>
        <w:rPr>
          <w:rFonts w:ascii="Times New Roman" w:hAnsi="Times New Roman" w:eastAsia="Times New Roman" w:cs="Times New Roman"/>
          <w:sz w:val="24"/>
        </w:rPr>
        <w:t xml:space="preserve">LUI, L.; SALES, E. R. Policiamento baseado em evidências: uma revisão bibliométrica.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Segurança Pública</w:t>
      </w:r>
      <w:r>
        <w:rPr>
          <w:rFonts w:ascii="Times New Roman" w:hAnsi="Times New Roman" w:eastAsia="Times New Roman" w:cs="Times New Roman"/>
          <w:sz w:val="24"/>
        </w:rPr>
        <w:t xml:space="preserve">, São Paulo, v. 18, n. 1, p. 344-359, fev./mar. 2024.</w:t>
      </w:r>
    </w:p>
    <w:p>
      <w:pPr>
        <w:pStyle w:val="BodyText"/>
        <w:spacing w:line="240" w:lineRule="auto" w:before="0" w:after="240"/>
        <w:jc w:val="left"/>
      </w:pPr>
      <w:r>
        <w:rPr>
          <w:rFonts w:ascii="Times New Roman" w:hAnsi="Times New Roman" w:eastAsia="Times New Roman" w:cs="Times New Roman"/>
          <w:sz w:val="24"/>
        </w:rPr>
        <w:t xml:space="preserve">MUNIZ, J.; PAES-MACHADO, E. Polícia para quem precisa de polícia: contribuições aos estudos sobre policiamento.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Caderno CRH</w:t>
      </w:r>
      <w:r>
        <w:rPr>
          <w:rFonts w:ascii="Times New Roman" w:hAnsi="Times New Roman" w:eastAsia="Times New Roman" w:cs="Times New Roman"/>
          <w:sz w:val="24"/>
        </w:rPr>
        <w:t xml:space="preserve">, Salvador, v. 23, n. 60, 2010.</w:t>
      </w:r>
    </w:p>
    <w:p>
      <w:pPr>
        <w:pStyle w:val="BodyText"/>
        <w:spacing w:line="240" w:lineRule="auto" w:before="0" w:after="240"/>
        <w:jc w:val="left"/>
      </w:pPr>
      <w:r>
        <w:rPr>
          <w:rFonts w:ascii="Times New Roman" w:hAnsi="Times New Roman" w:eastAsia="Times New Roman" w:cs="Times New Roman"/>
          <w:sz w:val="24"/>
        </w:rPr>
        <w:t xml:space="preserve">NASCIMENTO, 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 quilombismo</w:t>
      </w:r>
      <w:r>
        <w:rPr>
          <w:rFonts w:ascii="Times New Roman" w:hAnsi="Times New Roman" w:eastAsia="Times New Roman" w:cs="Times New Roman"/>
          <w:sz w:val="24"/>
        </w:rPr>
        <w:t xml:space="preserve">: documentos de uma militância pan-africanista. Petrópolis: Vozes, 1980.</w:t>
      </w:r>
    </w:p>
    <w:p>
      <w:pPr>
        <w:pStyle w:val="BodyText"/>
        <w:spacing w:line="240" w:lineRule="auto" w:before="0" w:after="240"/>
        <w:jc w:val="left"/>
      </w:pPr>
      <w:r>
        <w:rPr>
          <w:rFonts w:ascii="Times New Roman" w:hAnsi="Times New Roman" w:eastAsia="Times New Roman" w:cs="Times New Roman"/>
          <w:sz w:val="24"/>
        </w:rPr>
        <w:t xml:space="preserve">OLIVEIRA, C. B. F.; SANTOS, M. P.; ROCHA, J. C. S. Lei de drogas e encarceramento feminino negro: uma revisão de literatura sob ótica interseccional.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Opará: Etnicidades, Movimentos Sociais e Educação</w:t>
      </w:r>
      <w:r>
        <w:rPr>
          <w:rFonts w:ascii="Times New Roman" w:hAnsi="Times New Roman" w:eastAsia="Times New Roman" w:cs="Times New Roman"/>
          <w:sz w:val="24"/>
        </w:rPr>
        <w:t xml:space="preserve">, v. 8, p. 2-15, 2021.</w:t>
      </w:r>
    </w:p>
    <w:p>
      <w:pPr>
        <w:pStyle w:val="BodyText"/>
        <w:spacing w:line="240" w:lineRule="auto" w:before="0" w:after="240"/>
        <w:jc w:val="left"/>
      </w:pPr>
      <w:r>
        <w:rPr>
          <w:rFonts w:ascii="Times New Roman" w:hAnsi="Times New Roman" w:eastAsia="Times New Roman" w:cs="Times New Roman"/>
          <w:sz w:val="24"/>
        </w:rPr>
        <w:t xml:space="preserve">OLIVEIRA, C. B. F.; TORRES, E.; TORRES, O. Vidas negras: um panorama sobre os dados de encarceramento e homicídios de jovens negros no Brasil.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Trama Interdisciplinar</w:t>
      </w:r>
      <w:r>
        <w:rPr>
          <w:rFonts w:ascii="Times New Roman" w:hAnsi="Times New Roman" w:eastAsia="Times New Roman" w:cs="Times New Roman"/>
          <w:sz w:val="24"/>
        </w:rPr>
        <w:t xml:space="preserve">, São Paulo, v. 9, n. 1, p. 86-106, 2018.</w:t>
      </w:r>
    </w:p>
    <w:p>
      <w:pPr>
        <w:pStyle w:val="BodyText"/>
        <w:spacing w:line="240" w:lineRule="auto" w:before="0" w:after="240"/>
        <w:jc w:val="left"/>
      </w:pPr>
      <w:r>
        <w:rPr>
          <w:rFonts w:ascii="Times New Roman" w:hAnsi="Times New Roman" w:eastAsia="Times New Roman" w:cs="Times New Roman"/>
          <w:sz w:val="24"/>
        </w:rPr>
        <w:t xml:space="preserve">OLIVEIRA, T. R.; OLIVEIRA, A. R.; ADORNO, S. Legitimidade policial: um modelo de mensuração.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Ciências Sociais</w:t>
      </w:r>
      <w:r>
        <w:rPr>
          <w:rFonts w:ascii="Times New Roman" w:hAnsi="Times New Roman" w:eastAsia="Times New Roman" w:cs="Times New Roman"/>
          <w:sz w:val="24"/>
        </w:rPr>
        <w:t xml:space="preserve">, São Paulo, v. 34, n. 100, e3410007, 2019. DOI: 10.1590/3410007/2019.</w:t>
      </w:r>
    </w:p>
    <w:p>
      <w:pPr>
        <w:pStyle w:val="BodyText"/>
        <w:spacing w:line="240" w:lineRule="auto" w:before="0" w:after="240"/>
        <w:jc w:val="left"/>
      </w:pPr>
      <w:r>
        <w:rPr>
          <w:rFonts w:ascii="Times New Roman" w:hAnsi="Times New Roman" w:eastAsia="Times New Roman" w:cs="Times New Roman"/>
          <w:sz w:val="24"/>
        </w:rPr>
        <w:t xml:space="preserve">PEDROSA JÚNIOR, J. L. C.; MONTEIRO, L. M.; NASCIMENTO, E. O. Accountability e controle externo da atividade policial: uma análise das diretrizes do CNMP no enfrentamento à letalidade policial.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REDES: Revista Eletrônica Direito e Sociedade</w:t>
      </w:r>
      <w:r>
        <w:rPr>
          <w:rFonts w:ascii="Times New Roman" w:hAnsi="Times New Roman" w:eastAsia="Times New Roman" w:cs="Times New Roman"/>
          <w:sz w:val="24"/>
        </w:rPr>
        <w:t xml:space="preserve">, Canoas, v. 11, n. 2, 2023. DOI: 10.18316/REDES.v11i2.9556.</w:t>
      </w:r>
    </w:p>
    <w:p>
      <w:pPr>
        <w:pStyle w:val="BodyText"/>
        <w:spacing w:line="240" w:lineRule="auto" w:before="0" w:after="240"/>
        <w:jc w:val="left"/>
      </w:pPr>
      <w:r>
        <w:rPr>
          <w:rFonts w:ascii="Times New Roman" w:hAnsi="Times New Roman" w:eastAsia="Times New Roman" w:cs="Times New Roman"/>
          <w:sz w:val="24"/>
        </w:rPr>
        <w:t xml:space="preserve">RAMOS, S.; MUSUMECI,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Elemento suspeito</w:t>
      </w:r>
      <w:r>
        <w:rPr>
          <w:rFonts w:ascii="Times New Roman" w:hAnsi="Times New Roman" w:eastAsia="Times New Roman" w:cs="Times New Roman"/>
          <w:sz w:val="24"/>
        </w:rPr>
        <w:t xml:space="preserve">: abordagem policial e discriminação na cidade do Rio de Janeiro. Rio de Janeiro: Civilização Brasileira, 2005.</w:t>
      </w:r>
    </w:p>
    <w:p>
      <w:pPr>
        <w:pStyle w:val="BodyText"/>
        <w:spacing w:line="240" w:lineRule="auto" w:before="0" w:after="240"/>
        <w:jc w:val="left"/>
      </w:pPr>
      <w:r>
        <w:rPr>
          <w:rFonts w:ascii="Times New Roman" w:hAnsi="Times New Roman" w:eastAsia="Times New Roman" w:cs="Times New Roman"/>
          <w:sz w:val="24"/>
        </w:rPr>
        <w:t xml:space="preserve">ROLIM, M. F.; HERMANN, D. Confiança nas polícias: percepção dos residentes e desafios para a gestão.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Sociologias</w:t>
      </w:r>
      <w:r>
        <w:rPr>
          <w:rFonts w:ascii="Times New Roman" w:hAnsi="Times New Roman" w:eastAsia="Times New Roman" w:cs="Times New Roman"/>
          <w:sz w:val="24"/>
        </w:rPr>
        <w:t xml:space="preserve">, Porto Alegre, v. 20, n. 48, p. 188-211, maio/ago. 2018. DOI: 10.1590/15174522-020004812.</w:t>
      </w:r>
    </w:p>
    <w:p>
      <w:pPr>
        <w:pStyle w:val="BodyText"/>
        <w:spacing w:line="240" w:lineRule="auto" w:before="0" w:after="240"/>
        <w:jc w:val="left"/>
      </w:pPr>
      <w:r>
        <w:rPr>
          <w:rFonts w:ascii="Times New Roman" w:hAnsi="Times New Roman" w:eastAsia="Times New Roman" w:cs="Times New Roman"/>
          <w:sz w:val="24"/>
        </w:rPr>
        <w:t xml:space="preserve">SANTOS, A. P.; GOMES, A. O. Desempenho de organizações policiais: revisão sistemática da literatura.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do Serviço Público</w:t>
      </w:r>
      <w:r>
        <w:rPr>
          <w:rFonts w:ascii="Times New Roman" w:hAnsi="Times New Roman" w:eastAsia="Times New Roman" w:cs="Times New Roman"/>
          <w:sz w:val="24"/>
        </w:rPr>
        <w:t xml:space="preserve">, Brasília, v. 72, n. 1, p. 262-291, jan./mar. 2021. DOI: 10.21874/rsp.v72i01.4881.</w:t>
      </w:r>
    </w:p>
    <w:p>
      <w:pPr>
        <w:pStyle w:val="BodyText"/>
        <w:spacing w:line="240" w:lineRule="auto" w:before="0" w:after="240"/>
        <w:jc w:val="left"/>
      </w:pPr>
      <w:r>
        <w:rPr>
          <w:rFonts w:ascii="Times New Roman" w:hAnsi="Times New Roman" w:eastAsia="Times New Roman" w:cs="Times New Roman"/>
          <w:sz w:val="24"/>
        </w:rPr>
        <w:t xml:space="preserve">SANTOS, M. C. R. C. F. Convenção Interamericana contra o Racismo: uma análise sobre seu impacto na ordem constitucional e no sistema de justiça e segurança pública brasileiros.</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Jurídica Diké</w:t>
      </w:r>
      <w:r>
        <w:rPr>
          <w:rFonts w:ascii="Times New Roman" w:hAnsi="Times New Roman" w:eastAsia="Times New Roman" w:cs="Times New Roman"/>
          <w:sz w:val="24"/>
        </w:rPr>
        <w:t xml:space="preserve">, Ilhéus, v. 24, p. 2-22, 2025.</w:t>
      </w:r>
    </w:p>
    <w:p>
      <w:pPr>
        <w:pStyle w:val="BodyText"/>
        <w:spacing w:line="240" w:lineRule="auto" w:before="0" w:after="240"/>
        <w:jc w:val="left"/>
      </w:pPr>
      <w:r>
        <w:rPr>
          <w:rFonts w:ascii="Times New Roman" w:hAnsi="Times New Roman" w:eastAsia="Times New Roman" w:cs="Times New Roman"/>
          <w:sz w:val="24"/>
        </w:rPr>
        <w:t xml:space="preserve">SAPORI, L. F.</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Segurança pública no Brasil</w:t>
      </w:r>
      <w:r>
        <w:rPr>
          <w:rFonts w:ascii="Times New Roman" w:hAnsi="Times New Roman" w:eastAsia="Times New Roman" w:cs="Times New Roman"/>
          <w:sz w:val="24"/>
        </w:rPr>
        <w:t xml:space="preserve">: desafios e perspectivas. Rio de Janeiro: Editora FGV, 2007.</w:t>
      </w:r>
    </w:p>
    <w:p>
      <w:pPr>
        <w:pStyle w:val="BodyText"/>
        <w:spacing w:line="240" w:lineRule="auto" w:before="0" w:after="240"/>
        <w:jc w:val="left"/>
      </w:pPr>
      <w:r>
        <w:rPr>
          <w:rFonts w:ascii="Times New Roman" w:hAnsi="Times New Roman" w:eastAsia="Times New Roman" w:cs="Times New Roman"/>
          <w:sz w:val="24"/>
        </w:rPr>
        <w:t xml:space="preserve">SILVA, R. G.</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Currículo de formação da Polícia Militar da Bahia e racismo institucional</w:t>
      </w:r>
      <w:r>
        <w:rPr>
          <w:rFonts w:ascii="Times New Roman" w:hAnsi="Times New Roman" w:eastAsia="Times New Roman" w:cs="Times New Roman"/>
          <w:sz w:val="24"/>
        </w:rPr>
        <w:t xml:space="preserve">: um estudo sobre as presenças e ausências da discussão étnico-racial. 2021. Dissertação (Mestrado em Ensino e Relações Étnico-Raciais) – Universidade Federal do Sul da Bahia, Porto Seguro, 2021.</w:t>
      </w:r>
    </w:p>
    <w:p>
      <w:pPr>
        <w:pStyle w:val="BodyText"/>
        <w:spacing w:line="240" w:lineRule="auto" w:before="0" w:after="240"/>
        <w:jc w:val="left"/>
      </w:pPr>
      <w:r>
        <w:rPr>
          <w:rFonts w:ascii="Times New Roman" w:hAnsi="Times New Roman" w:eastAsia="Times New Roman" w:cs="Times New Roman"/>
          <w:sz w:val="24"/>
        </w:rPr>
        <w:t xml:space="preserve">SINHORETTO, J.; BATITUCCI, E. Policiamento ostensivo e desigualdades em São Paulo e Minas Gerais.</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Caderno CRH</w:t>
      </w:r>
      <w:r>
        <w:rPr>
          <w:rFonts w:ascii="Times New Roman" w:hAnsi="Times New Roman" w:eastAsia="Times New Roman" w:cs="Times New Roman"/>
          <w:sz w:val="24"/>
        </w:rPr>
        <w:t xml:space="preserve">, Salvador, v. 36, p. 1-16, 2023. DOI: 10.9771/ccrh.v36i0.42433.</w:t>
      </w:r>
    </w:p>
    <w:p>
      <w:pPr>
        <w:pStyle w:val="BodyText"/>
        <w:spacing w:line="240" w:lineRule="auto" w:before="0" w:after="240"/>
        <w:jc w:val="left"/>
      </w:pPr>
      <w:r>
        <w:rPr>
          <w:rFonts w:ascii="Times New Roman" w:hAnsi="Times New Roman" w:eastAsia="Times New Roman" w:cs="Times New Roman"/>
          <w:sz w:val="24"/>
        </w:rPr>
        <w:t xml:space="preserve">SKOLNICK, J. H.; BAYLEY, D. H.</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Policiamento comunitário</w:t>
      </w:r>
      <w:r>
        <w:rPr>
          <w:rFonts w:ascii="Times New Roman" w:hAnsi="Times New Roman" w:eastAsia="Times New Roman" w:cs="Times New Roman"/>
          <w:sz w:val="24"/>
        </w:rPr>
        <w:t xml:space="preserve">: questões e práticas através do mundo. São Paulo: Edusp, 2002.</w:t>
      </w:r>
    </w:p>
    <w:p>
      <w:pPr>
        <w:pStyle w:val="BodyText"/>
        <w:spacing w:line="240" w:lineRule="auto" w:before="0" w:after="240"/>
        <w:jc w:val="left"/>
      </w:pPr>
      <w:r>
        <w:rPr>
          <w:rFonts w:ascii="Times New Roman" w:hAnsi="Times New Roman" w:eastAsia="Times New Roman" w:cs="Times New Roman"/>
          <w:sz w:val="24"/>
        </w:rPr>
        <w:t xml:space="preserve">SOUZA, L. M. F.; FERREIRA, G. L.; SANTOS, M. C. R. C. F. Direito e meritocracia contra as cotas raciais: reajustes do dispositivo da branquitude.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Eletrônica Espaço Acadêmico</w:t>
      </w:r>
      <w:r>
        <w:rPr>
          <w:rFonts w:ascii="Times New Roman" w:hAnsi="Times New Roman" w:eastAsia="Times New Roman" w:cs="Times New Roman"/>
          <w:sz w:val="24"/>
        </w:rPr>
        <w:t xml:space="preserve">, v. 1, p. 35-45, 2021.</w:t>
      </w:r>
    </w:p>
    <w:p>
      <w:pPr>
        <w:pStyle w:val="BodyText"/>
        <w:spacing w:line="240" w:lineRule="auto" w:before="0" w:after="240"/>
        <w:jc w:val="left"/>
      </w:pPr>
      <w:r>
        <w:rPr>
          <w:rFonts w:ascii="Times New Roman" w:hAnsi="Times New Roman" w:eastAsia="Times New Roman" w:cs="Times New Roman"/>
          <w:sz w:val="24"/>
        </w:rPr>
        <w:t xml:space="preserve">SUNSHINE, J.; TYLER, T. R. The role of procedural justice and legitimacy in shaping public support for policing.</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Law &amp; Society Review</w:t>
      </w:r>
      <w:r>
        <w:rPr>
          <w:rFonts w:ascii="Times New Roman" w:hAnsi="Times New Roman" w:eastAsia="Times New Roman" w:cs="Times New Roman"/>
          <w:sz w:val="24"/>
        </w:rPr>
        <w:t xml:space="preserve">, v. 37, n. 3, p. 513-548, 2003.</w:t>
      </w:r>
    </w:p>
    <w:p>
      <w:pPr>
        <w:pStyle w:val="BodyText"/>
        <w:spacing w:line="240" w:lineRule="auto" w:before="0" w:after="240"/>
        <w:jc w:val="left"/>
      </w:pPr>
      <w:r>
        <w:rPr>
          <w:rFonts w:ascii="Times New Roman" w:hAnsi="Times New Roman" w:eastAsia="Times New Roman" w:cs="Times New Roman"/>
          <w:sz w:val="24"/>
        </w:rPr>
        <w:t xml:space="preserve">TYLER, T. R.</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Why people obey the law</w:t>
      </w:r>
      <w:r>
        <w:rPr>
          <w:rFonts w:ascii="Times New Roman" w:hAnsi="Times New Roman" w:eastAsia="Times New Roman" w:cs="Times New Roman"/>
          <w:sz w:val="24"/>
        </w:rPr>
        <w:t xml:space="preserve">. Princeton: Princeton University Press, 2006.</w:t>
      </w:r>
    </w:p>
    <w:p>
      <w:pPr>
        <w:pStyle w:val="BodyText"/>
        <w:spacing w:line="240" w:lineRule="auto" w:before="0" w:after="240"/>
        <w:jc w:val="left"/>
      </w:pPr>
      <w:r>
        <w:rPr>
          <w:rFonts w:ascii="Times New Roman" w:hAnsi="Times New Roman" w:eastAsia="Times New Roman" w:cs="Times New Roman"/>
          <w:sz w:val="24"/>
        </w:rPr>
        <w:t xml:space="preserve">WEBER, M.</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Economia e sociedade</w:t>
      </w:r>
      <w:r>
        <w:rPr>
          <w:rFonts w:ascii="Times New Roman" w:hAnsi="Times New Roman" w:eastAsia="Times New Roman" w:cs="Times New Roman"/>
          <w:sz w:val="24"/>
        </w:rPr>
        <w:t xml:space="preserve">: fundamentos da sociologia compreensiva. Brasília: Editora UnB, 2004. v. 2.</w:t>
      </w:r>
    </w:p>
    <w:p>
      <w:pPr>
        <w:pStyle w:val="BodyText"/>
        <w:spacing w:line="240" w:lineRule="auto" w:before="0" w:after="240"/>
        <w:jc w:val="left"/>
      </w:pPr>
      <w:r>
        <w:rPr>
          <w:rFonts w:ascii="Times New Roman" w:hAnsi="Times New Roman" w:eastAsia="Times New Roman" w:cs="Times New Roman"/>
          <w:sz w:val="24"/>
        </w:rPr>
        <w:t xml:space="preserve">ZANETIC, A.; MANSO, B. P.; NATAL, A. L.; OLIVEIRA, T. R. Legitimidade da polícia: segurança pública para além da dissuasão.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Civitas</w:t>
      </w:r>
      <w:r>
        <w:rPr>
          <w:rFonts w:ascii="Times New Roman" w:hAnsi="Times New Roman" w:eastAsia="Times New Roman" w:cs="Times New Roman"/>
          <w:sz w:val="24"/>
        </w:rPr>
        <w:t xml:space="preserve">, Porto Alegre, v. 16, n. 4, p. 148-173, out./dez. 2016.</w:t>
      </w:r>
    </w:p>
    <w:bookmarkEnd w:id="26"/>
    <w:bookmarkStart w:id="27" w:name="X1899a8583d36aac617b70b32311b7d883b725c1"/>
    <w:p>
      <w:pPr>
        <w:pStyle w:val="Heading2"/>
        <w:spacing w:line="360" w:lineRule="auto" w:before="240" w:after="120"/>
      </w:pPr>
      <w:r>
        <w:rPr>
          <w:rFonts w:ascii="Times New Roman" w:hAnsi="Times New Roman" w:eastAsia="Times New Roman" w:cs="Times New Roman"/>
          <w:b/>
          <w:i w:val="0"/>
          <w:sz w:val="24"/>
        </w:rPr>
        <w:t xml:space="preserve">DECLARAÇÃO SOBRE O USO DE INTELIGÊNCIA ARTIFICIAL GENERATIVA</w:t>
      </w:r>
    </w:p>
    <w:p>
      <w:pPr>
        <w:pStyle w:val="FirstParagraph"/>
        <w:spacing w:line="360" w:lineRule="auto" w:before="0" w:after="120"/>
        <w:ind w:firstLine="709"/>
        <w:jc w:val="both"/>
      </w:pPr>
      <w:r>
        <w:rPr>
          <w:rFonts w:ascii="Times New Roman" w:hAnsi="Times New Roman" w:eastAsia="Times New Roman" w:cs="Times New Roman"/>
          <w:sz w:val="24"/>
        </w:rPr>
        <w:t xml:space="preserve">Declara-se que, na elaboração deste anteprojeto, foi utilizada ferramenta de inteligência artificial generativa (Claude, Anthropic) como apoio à organização da estrutura, ao levantamento bibliográfico e de dados secundários e à revisão textual. Todo o conteúdo foi revisado, validado e reescrito pelo candidato, que assume integralmente a autoria e a responsabilidade pelo texto, conforme o item 5.2.3 do edital.</w:t>
      </w:r>
    </w:p>
    <w:bookmarkEnd w:id="27"/>
    <w:bookmarkEnd w:id="28"/>
    <w:sectPr>
      <w:pgSz w:h="16838" w:w="11906"/>
      <w:pgMar w:top="1417" w:bottom="141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Fonte">
    <w:name w:val="Fonte"/>
    <w:basedOn w:val="BodyText"/>
    <w:qFormat/>
    <w:rPr>
      <w:rFonts w:ascii="Times New Roman" w:hAnsi="Times New Roman"/>
    </w:rPr>
  </w:style>
  <w:style w:type="paragraph" w:customStyle="1" w:styleId="Legenda">
    <w:name w:val="Legenda"/>
    <w:basedOn w:val="BodyText"/>
    <w:qFormat/>
    <w:rPr>
      <w:rFonts w:ascii="Times New Roman" w:hAnsi="Times New Roman"/>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2026-10-21T11:36:25Z</dcterms:created>
  <dcterms:modified xsi:type="dcterms:W3CDTF">2026-10-21T11:36:25Z</dcterms:modified>
  <cp:lastModifiedBy/>
</cp:coreProperties>
</file>

<file path=docProps/custom.xml><?xml version="1.0" encoding="utf-8"?>
<Properties xmlns="http://schemas.openxmlformats.org/officeDocument/2006/custom-properties" xmlns:vt="http://schemas.openxmlformats.org/officeDocument/2006/docPropsVTypes"/>
</file>