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em territórios negros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criadas no âmbito do Programa Pacto pela Vida, hoje reformulado como Bahia pela Paz. Em Porto Seguro, a Base Comunitária do Baianão/Frei Calixto foi implantada numa das áreas periféricas mais populosas do município. Passada mais de uma década, porém, permanece em aberto uma questão de fundo: quem controla essa polícia de proximidade, e com que efeitos sobre a sua legitimidade junto às populações negras e quilombolas que ela deveria proteger?</w:t>
      </w:r>
    </w:p>
    <w:p>
      <w:pPr>
        <w:pStyle w:val="BodyText"/>
        <w:spacing w:line="360" w:lineRule="auto" w:before="0" w:after="120"/>
        <w:ind w:firstLine="709"/>
        <w:jc w:val="both"/>
      </w:pPr>
      <w:r>
        <w:rPr>
          <w:rFonts w:ascii="Times New Roman" w:hAnsi="Times New Roman" w:eastAsia="Times New Roman" w:cs="Times New Roman"/>
          <w:sz w:val="24"/>
        </w:rPr>
        <w:t xml:space="preserve">É nesse cenário que os dados mais recentes tornam essa pergunta urgente. De acordo com o Anuário Brasileiro de Segurança Pública, Eunápolis e Porto Seguro figuram entre as quatro cidades mais violentas do país, com taxas de 85,1 e 71,2 mortes violentas intencionais por 100 mil habitantes, respectivamente, e lideram o país em mortes decorrentes de intervenção policial entre os municípios com mais de 100 mil habitantes, com 32,3 por 100 mil em Porto Seguro e 29,7 em Eunápolis (FÓRUM BRASILEIRO DE SEGURANÇA PÚBLICA, 2026). Em Porto Seguro, a ação policial respondeu por 45% das 130 mortes violentas registradas em 2025. No plano estadual, a Bahia somou 1.570 mortes por intervenção policial no mesmo ano, o maior número absoluto do país. Cumpre ressaltar que esse padrão não é racialmente neutro: estudos sobre abordagem e letalidade policial demonstram que a pertinência racial opera como critério de suspeição e de uso da força, inclusive em Salvador (RAMOS; MUSUMECI, 2005; ANUNCIAÇÃO; TRAD; FERREIRA, 2020; SINHORETTO; BATITUCCI, 2023).</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predominantemente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e nada sobre quem, racialmente, suporta os custos dessa atuação. A aparência técnica e neutra desses controles pode, assim, encobrir a reprodução do racismo institucional, à semelhança do que Souza, Ferreira e Santos (2021) identificam no campo jurídico como dispositivo da branquitude.</w:t>
      </w:r>
    </w:p>
    <w:p>
      <w:pPr>
        <w:pStyle w:val="BodyText"/>
        <w:spacing w:line="360" w:lineRule="auto" w:before="0" w:after="120"/>
        <w:ind w:firstLine="709"/>
        <w:jc w:val="both"/>
      </w:pPr>
      <w:r>
        <w:rPr>
          <w:rFonts w:ascii="Times New Roman" w:hAnsi="Times New Roman" w:eastAsia="Times New Roman" w:cs="Times New Roman"/>
          <w:sz w:val="24"/>
        </w:rPr>
        <w:t xml:space="preserve">Nesse contexto, estudo anterior, desenvolvido em mestrado profissional sobre indicadores de desempenho na Polícia Militar da Bahia, mostrou que os instrumentos de controle perdem eficácia quando atuam de forma isolada e desarticulada, e que faltam mecanismos de natureza preventiva e ética, e não apenas punitiva. Aquele trabalho, contudo, restringiu-se à análise bibliográfica e documental em escala estadual e não incorporou a dimensão racial. Restou por investigar, assim, como esses controles funcionam no território e como são percebidos pelas populações negras, quilombolas e indígenas policiadas,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Fixada essa premissa,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em que medida o controle democrático e a accountability do policiamento comunitário conferem legitimidade à polícia junto às populações negras e quilombolas do Extremo Sul da Bahia?</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o estudo desloca o debate da eficácia gerencial, isto é, se a polícia entrega resultados, para o problema da legitimação do poder, ou seja, se a polícia é reconhecida como justa e passível de controle pelos grupos que mais sofrem sua ação. Para tanto, articula a teoria da legitimidade procedimental, a literatura brasileira sobre controle da atividade policial e os estudos críticos sobre raça e Estado. Além disso, sua originalidade reside em tratar o controle como sistema, examinando em conjunto corregedoria, Ministério Público, ouvidoria, conselhos comunitários e imprensa, e em fazê-lo numa região interiorana marcada pelo turismo, por periferias urbanas negras e pela presença de povos indígenas e comunidades quilombolas,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a segurança pública constitui questão prioritária para a qualidade de vida no Sul da Bahia. Espera-se que a pesquisa ofereça subsídios para a construção de indicadores de legitimidade com recorte étnico-racial, em diálogo com a agenda do Objetivo de Desenvolvimento Sustentável 18 (Igualdade Étnico-Racial), bem como para o fortalecimento do controle social em âmbito local.</w:t>
      </w:r>
    </w:p>
    <w:p>
      <w:pPr>
        <w:pStyle w:val="BodyText"/>
        <w:spacing w:line="360" w:lineRule="auto" w:before="0" w:after="120"/>
        <w:ind w:firstLine="709"/>
        <w:jc w:val="both"/>
      </w:pPr>
      <w:r>
        <w:rPr>
          <w:rFonts w:ascii="Times New Roman" w:hAnsi="Times New Roman" w:eastAsia="Times New Roman" w:cs="Times New Roman"/>
          <w:sz w:val="24"/>
        </w:rPr>
        <w:t xml:space="preserve">Trata-se, portanto, de proposta que se insere na Linha 1 do PPGES, na medida em que toma o Estado como conjunto heterogêneo de instituições e se debruça sobre as dinâmicas do exercício do poder, os processos de legitimação, a relação entre Estado e sociedade civil, o pluralismo jurídico e as instâncias de controle de programas de governo. Dialoga, ainda, com a produção das orientadoras indicadas sobre racismo, sistema de justiça e segurança pública (SANTOS, 2025) e sobre a letalidade e o encarceramento da juventude negra (OLIVEIRA; TORRES; TORRES, 2018).</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em que medida o controle democrático e a accountability do policiamento comunitário, exercidos por instâncias internas, externas e sociais, conferem legitimidade à polícia junto às populações negras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como a Corregedoria da Polícia Militar, o Ministério Público, a Ouvidoria, os conselhos comunitários de segurança e a imprensa local,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programa Bahia pela Paz orientam a atuação das unidades comunitárias e se incorporam, ou silenciam, a dimensão racial da ação policial;</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legitimidade da polícia, expressa na justiça procedimental e na confiança, e da possibilidade de controlá-la;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gênero,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legitimidade com recorte étnico-racial, complementar aos indicadores de produtividade e alinhada à agenda do ODS 18.</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controle democrático e a accountability, tal como hoje operam, conferem pouca legitimidade à polícia junto às populações negras e quilombolas, porque são fragmentados, predominantemente reativos e racialmente neutros apenas na aparência, o que produz conformidade com metas, mas não confiança. Mecanismos articulados, abertos à participação comunitária e sensíveis às especificidades culturais dos territórios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quatro eixos complementares: o Estado e a legitimação do poder; o controle democrático da polícia; o policiamento comunitário diante da gestão por resultados; e as relações entre raça, território e ação policial, que atravessa os demais.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de raciocínio, Beetham (1991) acrescenta que a legitimidade não se esgota na legalidade: ela depende também de crenças compartilhadas e do consentimento expresso dos governados. Com efeito, a teoria da justiça procedimental aprofunda esse argumento ao demonstrar que as pessoas cooperam com a polícia e obedecem à lei sobretudo quando se sentem tratadas com respeito e imparcialidade, e não apenas quando percebem a polícia como eficaz (SUNSHINE; TYLER, 2003; TYLER, 2006). No Brasil, por sua vez, essa perspectiva foi incorporada ao debate sobre reforma policial por Zanetic et al. (2016) e operacionalizada empiricamente por Oliveira, Oliveira e Adorno (2019), que propuseram um modelo de mensuração da legitimidade policial em São Paulo.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Em sentido complementar, Lui e Sales (2024) mapeiam a agenda do policiamento baseado em evidências. No que concerne ao policiamento comunitário, Muniz e Paes-Machado (2010) problematizam as experiências baianas, e Ferreira, Rossoni e Oliveira (2022) demonstram que esse modelo, incluindo as Bases Comunitárias da Bahia, é atravessado por quatro lógicas institucionais, a militar, a profissional, a gerencial e a comunitária, cuja tensão ajuda a explicar por que as metas gerenciais frequentemente se sobrepõem à proximidade. Não é menos verdade, contudo, que a participação social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O quarto eixo confere ao projeto sua lente analítica. Na lição de Almeida (2019), o racismo é estrutural e se reproduz nas instituições mesmo sem intenção explícita, e Bento (2022) descreve o pacto narcísico da branquitude que sustenta essa reprodução nas organizações. No campo penal, Flauzina (2006) interpreta a seletividade do sistema como parte de um projeto genocida dirigido à população negra, leitura que encontra respaldo empírico nos dados sobre homicídio e encarceramento da juventude negra (OLIVEIRA; TORRES; TORRES, 2018) e na análise interseccional do encarceramento feminino negro (OLIVEIRA; SANTOS; ROCHA, 2021; AKOTIRENE, 2019). Especificamente quanto à Polícia Militar da Bahia, Silva (2021) evidenciou as ausências da discussão étnico-racial no currículo de formação policial, e Santos (2025) examinou o impacto da Convenção Interamericana contra o Racismo sobre o sistema de justiça e segurança pública brasileiros, abrindo caminho para pensar o controle da polícia também como obrigação antirracista do Estado. Por fim, as categorias de amefricanidade (GONZALEZ, 1988) e de quilombismo (NASCIMENTO, 1980) permitem compreender periferias negras e comunidades quilombolas não como alvos do policiamento, mas como sujeitos políticos e portadores de formas próprias de organização e de juridicidade, o que dialoga com o pluralismo jurídico e a interculturalidade. É a partir daí que se indaga em que medida o controle democrático e a accountability conferem legitimidade à polícia nesses territórios.</w:t>
      </w:r>
    </w:p>
    <w:p>
      <w:pPr>
        <w:pStyle w:val="BodyText"/>
        <w:spacing w:line="360" w:lineRule="auto" w:before="0" w:after="120"/>
        <w:ind w:firstLine="709"/>
        <w:jc w:val="both"/>
      </w:pPr>
      <w:r>
        <w:rPr>
          <w:rFonts w:ascii="Times New Roman" w:hAnsi="Times New Roman" w:eastAsia="Times New Roman" w:cs="Times New Roman"/>
          <w:sz w:val="24"/>
        </w:rPr>
        <w:t xml:space="preserve">Cumpre registrar, ainda, que a confiança na polícia, variável central para esta pesquisa, mostra-se baixa no país, mas sensível ao contexto: Rolim e Hermann (2018) verificaram, em Porto Alegre, níveis de confiança inferiores aos observados em cidades menores. Tal achado justifica, por conseguinte, investigar um contexto interiorano como o do Extremo Sul baiano. Nessa perspectiva, a noção de pluralismo jurídico, presente na descrição da Linha 1, oferece chave analítica para a relação entre a polícia e os povos indígenas e comunidades tradicionais da região.</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três recortes territoriais do Extremo Sul da Bahia. O caso principal é Porto Seguro, onde funciona a Base Comunitária de Segurança do Baianão/Frei Calixto e que registra a maior taxa de mortes por intervenção policial do país entre os de mais de 100 mil habitantes. Eunápolis, segunda colocada nesse indicador e sem base comunitária identificada, funcionará como caso de contraste. O terceiro recorte abrange comunidades quilombolas certificadas pela Fundação Cultural Palmares nos municípios de Caravelas e Nova Viçosa, como Volta Miúda e Helvécia, permitindo examinar a relação entre polícia e comunidades tradicionais. O quadro a seguir relaciona cada objetivo específico às fontes, aos instrumentos e à forma de análise.</w:t>
      </w:r>
    </w:p>
    <w:p>
      <w:pPr>
        <w:pStyle w:val="Legenda"/>
        <w:spacing w:line="240" w:lineRule="auto" w:before="120" w:after="80"/>
        <w:ind/>
        <w:jc w:val="center"/>
      </w:pPr>
      <w:r>
        <w:rPr>
          <w:rFonts w:ascii="Times New Roman" w:hAnsi="Times New Roman" w:eastAsia="Times New Roman" w:cs="Times New Roman"/>
          <w:b/>
          <w:sz w:val="20"/>
        </w:rPr>
        <w:t xml:space="preserve">Quadro 1 – Relação entre objetivos, fontes, instrumentos e análise</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2041"/>
        <w:gridCol w:w="3175"/>
        <w:gridCol w:w="2268"/>
        <w:gridCol w:w="2154"/>
      </w:tblGrid>
      <w:tr>
        <w:trPr>
          <w:tblHeader w:val="true"/>
          <w:cantSplit/>
          <w:tblHeader/>
        </w:trPr>
        <w:tc>
          <w:tcPr>
            <w:tcW w:type="dxa" w:w="2041"/>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Objetivo</w:t>
            </w:r>
          </w:p>
        </w:tc>
        <w:tc>
          <w:tcPr>
            <w:tcW w:type="dxa" w:w="3175"/>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Participantes e fontes</w:t>
            </w:r>
          </w:p>
        </w:tc>
        <w:tc>
          <w:tcPr>
            <w:tcW w:type="dxa" w:w="226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Instrumento</w:t>
            </w:r>
          </w:p>
        </w:tc>
        <w:tc>
          <w:tcPr>
            <w:tcW w:type="dxa" w:w="215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Análise</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 Mapear as instâncias de controle</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Normas, relatórios da Corregedoria, do MP-BA e da Ouvidoria; atas de conselhos comunitários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Pesquisa documental e pedidos via Lei de Acesso à Informação</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documental e de fluxos institucionais</w:t>
            </w:r>
          </w:p>
        </w:tc>
      </w:tr>
      <w:tr>
        <w:trPr>
          <w:cantSplit/>
        </w:trPr>
        <w:tc>
          <w:tcPr>
            <w:tcW w:type="dxa" w:w="204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b) Examinar os indicadores do Bahia pela Paz</w:t>
            </w:r>
          </w:p>
        </w:tc>
        <w:tc>
          <w:tcPr>
            <w:tcW w:type="dxa" w:w="3175"/>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Bases de dados da SSP-BA, planos de metas e registros de mortes por intervenção policial desagregados por raça/cor</w:t>
            </w:r>
          </w:p>
        </w:tc>
        <w:tc>
          <w:tcPr>
            <w:tcW w:type="dxa" w:w="226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Coleta de séries históricas (2015-2026)</w:t>
            </w:r>
          </w:p>
        </w:tc>
        <w:tc>
          <w:tcPr>
            <w:tcW w:type="dxa" w:w="215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c) Compreender as percepções dos atores</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Cerca de 30 participantes: policiais, gestores, promotores de justiça, conselheiros e lideranças comunitárias e quilombolas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Entrevistas semiestruturadas</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de conteúdo (BARDIN, 2016)</w:t>
            </w:r>
          </w:p>
        </w:tc>
      </w:tr>
      <w:tr>
        <w:trPr>
          <w:cantSplit/>
        </w:trPr>
        <w:tc>
          <w:tcPr>
            <w:tcW w:type="dxa" w:w="204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d) Verificar variações por raça, gênero e território</w:t>
            </w:r>
          </w:p>
        </w:tc>
        <w:tc>
          <w:tcPr>
            <w:tcW w:type="dxa" w:w="3175"/>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Moradores do Baianão e de Eunápolis e membros das comunidades quilombolas</w:t>
            </w:r>
          </w:p>
        </w:tc>
        <w:tc>
          <w:tcPr>
            <w:tcW w:type="dxa" w:w="226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Grupos focais (de dois a quatro) e questionário breve sobre confiança</w:t>
            </w:r>
          </w:p>
        </w:tc>
        <w:tc>
          <w:tcPr>
            <w:tcW w:type="dxa" w:w="215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Análise comparativa e interseccional</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e) Propor a matriz de indicadores</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Participantes das etapas anteriores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Oficina devolutiva</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Síntese participativa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p>
      <w:pPr>
        <w:pStyle w:val="BodyText"/>
        <w:spacing w:line="360" w:lineRule="auto" w:before="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No caso de povos indígenas e comunidades tradicionais, haverá consulta prévia às lideranças e, quando exigido, apreciação pela Comissão Nacional de Ética em Pesquisa. De igual modo, será solicitada a anuência institucional da Polícia Militar. O vínculo profissional do pesquisador com a instituição estudada será tratado com reflexividade, reconhecido tanto como limite potencial quanto como condição privilegiada de acesso ao campo.</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No plano acadêmico, espera-se responder em que medida o controle democrático e a accountability conferem legitimidade ao policiamento comunitário junto às populações negras e quilombolas, construindo um modelo analítico que compreenda o controle policial como sistema articulado e o relacione à legitimidade, e não apenas à eficiência, incorporando a dimensão racial ao debate sobre accountability policial, contribuição inédita para o estudo do interior baiano. No âmbito da Linha 1, a tese deverá oferecer evidências sobre os processos de legitimação do Estado, a relação entre burocracia policial e sociedade civil e a fiscalização de programas de governo. Por fim, no plano social e profissional, pretende-se entregar à Secretaria da Segurança Pública, ao Ministério Público e aos conselhos comunitários uma matriz de indicadores de legitimidade com recorte étnico-racial, além de divulgar os resultados em artigos científicos e em oficinas devolutivas nas comunidades participantes.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p>
      <w:pPr>
        <w:pStyle w:val="Legenda"/>
        <w:spacing w:line="240" w:lineRule="auto" w:before="120" w:after="80"/>
        <w:ind/>
        <w:jc w:val="center"/>
      </w:pPr>
      <w:r>
        <w:rPr>
          <w:rFonts w:ascii="Times New Roman" w:hAnsi="Times New Roman" w:eastAsia="Times New Roman" w:cs="Times New Roman"/>
          <w:b/>
          <w:sz w:val="20"/>
        </w:rPr>
        <w:t xml:space="preserve">Quadro 2 – Cronograma de execução da pesquisa</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814"/>
        <w:gridCol w:w="7824"/>
      </w:tblGrid>
      <w:tr>
        <w:trPr>
          <w:tblHeader w:val="true"/>
          <w:cantSplit/>
          <w:tblHeader/>
        </w:trPr>
        <w:tc>
          <w:tcPr>
            <w:tcW w:type="dxa" w:w="181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c>
          <w:tcPr>
            <w:tcW w:type="dxa" w:w="782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Atividades</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1 (2027)</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Cumprimento de disciplinas; revisão de literatura; pesquisa documental e pedidos via Lei de Acesso à Informação; submissão ao Comitê de Ética</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2 (2028)</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Entrevistas e grupos focais; análise das séries de indicadores; exame de qualificação</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3 (2029)</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dos dados; publicação de artigos; oficina devolutiva</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4 (2030)</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Elaboração da matriz de indicadores; redação final; defesa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AKOTIRENE,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Interseccionalidade</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ALMEIDA, S.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Racismo estrutural</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ANUNCIAÇÃO, D.; TRAD, L. A. B.; FERREIRA, 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Mão na cabeça!</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abordagem policial, racismo e violência estrutural entre jovens negros de três capitais do Nordeste.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Saúde e Sociedade</w:t>
      </w:r>
      <w:r>
        <w:rPr>
          <w:rFonts w:ascii="Times New Roman" w:hAnsi="Times New Roman" w:eastAsia="Times New Roman" w:cs="Times New Roman"/>
          <w:sz w:val="24"/>
        </w:rPr>
        <w:t xml:space="preserve">, São Paulo, v. 29, n. 1, e190271, 2020. DOI: 10.1590/S0104-12902020190271.</w:t>
      </w:r>
    </w:p>
    <w:p>
      <w:pPr>
        <w:pStyle w:val="BodyText"/>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BENTO,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pacto da branquitude</w:t>
      </w:r>
      <w:r>
        <w:rPr>
          <w:rFonts w:ascii="Times New Roman" w:hAnsi="Times New Roman" w:eastAsia="Times New Roman" w:cs="Times New Roman"/>
          <w:sz w:val="24"/>
        </w:rPr>
        <w:t xml:space="preserve">. São Paulo: Companhia das Letras, 2022.</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FLAUZINA, A. L. P.</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Corpo negro caído no chão</w:t>
      </w:r>
      <w:r>
        <w:rPr>
          <w:rFonts w:ascii="Times New Roman" w:hAnsi="Times New Roman" w:eastAsia="Times New Roman" w:cs="Times New Roman"/>
          <w:sz w:val="24"/>
        </w:rPr>
        <w:t xml:space="preserve">: o sistema penal e o projeto genocida do Estado brasileiro. 2006. Dissertação (Mestrado em Direito) – Universidade de Brasília, Brasília, 2006.</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2026</w:t>
      </w:r>
      <w:r>
        <w:rPr>
          <w:rFonts w:ascii="Times New Roman" w:hAnsi="Times New Roman" w:eastAsia="Times New Roman" w:cs="Times New Roman"/>
          <w:sz w:val="24"/>
        </w:rPr>
        <w:t xml:space="preserve">. São Paulo: FBSP, 2026.</w:t>
      </w:r>
    </w:p>
    <w:p>
      <w:pPr>
        <w:pStyle w:val="BodyText"/>
        <w:spacing w:line="240" w:lineRule="auto" w:before="0" w:after="240"/>
        <w:jc w:val="left"/>
      </w:pPr>
      <w:r>
        <w:rPr>
          <w:rFonts w:ascii="Times New Roman" w:hAnsi="Times New Roman" w:eastAsia="Times New Roman" w:cs="Times New Roman"/>
          <w:sz w:val="24"/>
        </w:rPr>
        <w:t xml:space="preserve">GONZALEZ, L. A categoria político-cultural de amefricanidade.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Tempo Brasileiro</w:t>
      </w:r>
      <w:r>
        <w:rPr>
          <w:rFonts w:ascii="Times New Roman" w:hAnsi="Times New Roman" w:eastAsia="Times New Roman" w:cs="Times New Roman"/>
          <w:sz w:val="24"/>
        </w:rPr>
        <w:t xml:space="preserve">, Rio de Janeiro, n. 92/93, p. 69-82, jan./jun. 1988.</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NASCIMENTO, 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quilombismo</w:t>
      </w:r>
      <w:r>
        <w:rPr>
          <w:rFonts w:ascii="Times New Roman" w:hAnsi="Times New Roman" w:eastAsia="Times New Roman" w:cs="Times New Roman"/>
          <w:sz w:val="24"/>
        </w:rPr>
        <w:t xml:space="preserve">: documentos de uma militância pan-africanista. Petrópolis: Vozes, 1980.</w:t>
      </w:r>
    </w:p>
    <w:p>
      <w:pPr>
        <w:pStyle w:val="BodyText"/>
        <w:spacing w:line="240" w:lineRule="auto" w:before="0" w:after="240"/>
        <w:jc w:val="left"/>
      </w:pPr>
      <w:r>
        <w:rPr>
          <w:rFonts w:ascii="Times New Roman" w:hAnsi="Times New Roman" w:eastAsia="Times New Roman" w:cs="Times New Roman"/>
          <w:sz w:val="24"/>
        </w:rPr>
        <w:t xml:space="preserve">OLIVEIRA, C. B. F.; SANTOS, M. P.; ROCHA, J. C. S. Lei de drogas e encarceramento feminino negro: uma revisão de literatura sob ótica interseccional.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Opará: Etnicidades, Movimentos Sociais e Educação</w:t>
      </w:r>
      <w:r>
        <w:rPr>
          <w:rFonts w:ascii="Times New Roman" w:hAnsi="Times New Roman" w:eastAsia="Times New Roman" w:cs="Times New Roman"/>
          <w:sz w:val="24"/>
        </w:rPr>
        <w:t xml:space="preserve">, v. 8, p. 2-15, 2021.</w:t>
      </w:r>
    </w:p>
    <w:p>
      <w:pPr>
        <w:pStyle w:val="BodyText"/>
        <w:spacing w:line="240" w:lineRule="auto" w:before="0" w:after="240"/>
        <w:jc w:val="left"/>
      </w:pPr>
      <w:r>
        <w:rPr>
          <w:rFonts w:ascii="Times New Roman" w:hAnsi="Times New Roman" w:eastAsia="Times New Roman" w:cs="Times New Roman"/>
          <w:sz w:val="24"/>
        </w:rPr>
        <w:t xml:space="preserve">OLIVEIRA, C. B. F.; TORRES, E.; TORRES, O. Vidas negras: um panorama sobre os dados de encarceramento e homicídios de jovens negros no Brasil.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Trama Interdisciplinar</w:t>
      </w:r>
      <w:r>
        <w:rPr>
          <w:rFonts w:ascii="Times New Roman" w:hAnsi="Times New Roman" w:eastAsia="Times New Roman" w:cs="Times New Roman"/>
          <w:sz w:val="24"/>
        </w:rPr>
        <w:t xml:space="preserve">, São Paulo, v. 9, n. 1, p. 86-106, 2018.</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RAMOS, S.; MUSUMECI,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Elemento suspeito</w:t>
      </w:r>
      <w:r>
        <w:rPr>
          <w:rFonts w:ascii="Times New Roman" w:hAnsi="Times New Roman" w:eastAsia="Times New Roman" w:cs="Times New Roman"/>
          <w:sz w:val="24"/>
        </w:rPr>
        <w:t xml:space="preserve">: abordagem policial e discriminação na cidade do Rio de Janeiro. Rio de Janeiro: Civilização Brasileira, 2005.</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SANTOS, M. C. R. C. F. Convenção Interamericana contra o Racismo: uma análise sobre seu impacto na ordem constitucional e no sistema de justiça e segurança pública brasileiros.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Jurídica Diké</w:t>
      </w:r>
      <w:r>
        <w:rPr>
          <w:rFonts w:ascii="Times New Roman" w:hAnsi="Times New Roman" w:eastAsia="Times New Roman" w:cs="Times New Roman"/>
          <w:sz w:val="24"/>
        </w:rPr>
        <w:t xml:space="preserve">, Ilhéus, v. 24, p. 2-22, 2025.</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SILVA, R. 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Currículo de formação da Polícia Militar da Bahia e racismo institucional</w:t>
      </w:r>
      <w:r>
        <w:rPr>
          <w:rFonts w:ascii="Times New Roman" w:hAnsi="Times New Roman" w:eastAsia="Times New Roman" w:cs="Times New Roman"/>
          <w:sz w:val="24"/>
        </w:rPr>
        <w:t xml:space="preserve">: um estudo sobre as presenças e ausências da discussão étnico-racial. 2021. Dissertação (Mestrado em Ensino e Relações Étnico-Raciais) – Universidade Federal do Sul da Bahia, Porto Seguro, 2021.</w:t>
      </w:r>
    </w:p>
    <w:p>
      <w:pPr>
        <w:pStyle w:val="BodyText"/>
        <w:spacing w:line="240" w:lineRule="auto" w:before="0" w:after="240"/>
        <w:jc w:val="left"/>
      </w:pPr>
      <w:r>
        <w:rPr>
          <w:rFonts w:ascii="Times New Roman" w:hAnsi="Times New Roman" w:eastAsia="Times New Roman" w:cs="Times New Roman"/>
          <w:sz w:val="24"/>
        </w:rPr>
        <w:t xml:space="preserve">SINHORETTO, J.; BATITUCCI, E. Policiamento ostensivo e desigualdades em São Paulo e Minas Gerais.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36, p. 1-16, 2023. DOI: 10.9771/ccrh.v36i0.42433.</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SOUZA, L. M. F.; FERREIRA, G. L.; SANTOS, M. C. R. C. F. Direito e meritocracia contra as cotas raciais: reajustes do dispositivo da branquitude.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Eletrônica Espaço Acadêmico</w:t>
      </w:r>
      <w:r>
        <w:rPr>
          <w:rFonts w:ascii="Times New Roman" w:hAnsi="Times New Roman" w:eastAsia="Times New Roman" w:cs="Times New Roman"/>
          <w:sz w:val="24"/>
        </w:rPr>
        <w:t xml:space="preserve">, v. 1, p. 35-45, 2021.</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ao levantamento bibliográfico e de dados secundários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Fonte">
    <w:name w:val="Fonte"/>
    <w:basedOn w:val="BodyText"/>
    <w:qFormat/>
    <w:rPr>
      <w:rFonts w:ascii="Times New Roman" w:hAnsi="Times New Roman"/>
    </w:rPr>
  </w:style>
  <w:style w:type="paragraph" w:customStyle="1" w:styleId="Legenda">
    <w:name w:val="Legenda"/>
    <w:basedOn w:val="BodyText"/>
    <w:qFormat/>
    <w:rPr>
      <w:rFonts w:ascii="Times New Roman" w:hAnsi="Times New Roman"/>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2026-10-21T12:15:20Z</dcterms:created>
  <dcterms:modified xsi:type="dcterms:W3CDTF">2026-10-21T12:15:20Z</dcterms:modified>
  <cp:lastModifiedBy/>
</cp:coreProperties>
</file>

<file path=docProps/custom.xml><?xml version="1.0" encoding="utf-8"?>
<Properties xmlns="http://schemas.openxmlformats.org/officeDocument/2006/custom-properties" xmlns:vt="http://schemas.openxmlformats.org/officeDocument/2006/docPropsVTypes"/>
</file>