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no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integradas ao Programa Pacto pela Vida. Passada mais de uma década de sua implantação, porém, permanece em aberto uma questão de fundo: quem controla essa polícia de proximidade, e com que efeitos sobre a sua legitimidade?</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sobretudo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Esse descompasso torna-se ainda mais grave quando se observa que a Bahia figura, nos últimos anos, entre os estados com maior número de mortes decorrentes de intervenção policial: somente em 2024, foram 1.556 vítimas, o equivalente a cerca de quatro mortes por dia (FÓRUM BRASILEIRO DE SEGURANÇA PÚBLICA, 2025). A distância entre a retórica comunitária e os mecanismos efetivos de controle é, portanto, o ponto de partida desta proposta.</w:t>
      </w:r>
    </w:p>
    <w:p>
      <w:pPr>
        <w:pStyle w:val="BodyText"/>
        <w:spacing w:line="360" w:lineRule="auto" w:before="0" w:after="120"/>
        <w:ind w:firstLine="709"/>
        <w:jc w:val="both"/>
      </w:pPr>
      <w:r>
        <w:rPr>
          <w:rFonts w:ascii="Times New Roman" w:hAnsi="Times New Roman" w:eastAsia="Times New Roman" w:cs="Times New Roman"/>
          <w:sz w:val="24"/>
        </w:rPr>
        <w:t xml:space="preserve">Nessa direção, dissertação de mestrado profissional desenvolvida pelo proponente sobre indicadores de desempenho na Polícia Militar da Bahia (SOUSA, 2024) mostrou que nenhum dos instrumentos de controle analisados, entre eles corregedoria, Ministério Público, ouvidoria, conselhos comunitários e imprensa, atende plenamente às demandas da atividade policial, sobretudo quando atuam de forma isolada e desarticulada, e que faltam mecanismos de natureza preventiva e ética, e não apenas punitiva. Aquele trabalho, contudo, restringiu-se à análise bibliográfica e documental em escala estadual, sem ouvir os atores envolvidos. Assim, ficou por investigar como esses controles funcionam no território e como são percebidos pela população policiada,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Diante disso,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como os mecanismos de controle interno, externo e social que incidem sobre o policiamento comunitário no Extremo Sul da Bahia se articulam, e em que medida contribuem para a legitimidade democrática da polícia perante 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isto é, se a polícia entrega resultados, para o problema da legitimação do poder, isto é, se a polícia é reconhecida como justa e passível de controle. Para tanto, articula a teoria da legitimidade procedimental à literatura brasileira sobre controle da atividade policial. Além disso, sua originalidade reside em tratar o controle como sistema. A literatura brasileira tem examinado essas instâncias separadamente: as ouvidorias e corregedorias (LEMGRUBER; MUSUMECI; CANO, 2003), o Ministério Público (PEDROSA JÚNIOR; MONTEIRO; NASCIMENTO, 2023), os conselhos comunitários (BUENO; LIMA; TEIXEIRA, 2016) e o controle disciplinar interno (ARAÚJO; OLIVEIRA; SAMPAIO, 2025). Esta pesquisa, ao contrário, as examina em conjunto. A proposta também se diferencia por fazê-lo numa região interiorana, marcada pelo turismo e pela presença de povos indígenas, comunidades quilombolas e periferias urbanas,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espera-se oferecer subsídios para indicadores de qualidade e de confiança que complementem os de produtividade e para o fortalecimento do controle social local.</w:t>
      </w:r>
    </w:p>
    <w:p>
      <w:pPr>
        <w:pStyle w:val="BodyText"/>
        <w:spacing w:line="360" w:lineRule="auto" w:before="0" w:after="120"/>
        <w:ind w:firstLine="709"/>
        <w:jc w:val="both"/>
      </w:pPr>
      <w:r>
        <w:rPr>
          <w:rFonts w:ascii="Times New Roman" w:hAnsi="Times New Roman" w:eastAsia="Times New Roman" w:cs="Times New Roman"/>
          <w:sz w:val="24"/>
        </w:rPr>
        <w:t xml:space="preserve">Por essas razões, a proposta insere-se na Linha 1 do PPGES, ao tratar dos processos de legitimação, da relação entre Estado e sociedade civil e das instâncias de controle de programas de governo.</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comunidades atendidas.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a saber, Corregedoria da Polícia Militar, Ministério Público, Ouvidoria, conselhos comunitários de segurança e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Pacto pela Vida orientam a atuação das unidades comunitárias e quais dimensões da atividade policial deixam de ser mensuradas;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qualidade e de legitimidade complementar aos indicadores de produtividade.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em continuidade aos achados de Sousa (2024), os controles existentes operam de maneira fragmentada e predominantemente reativa e punitiva, o que produz conformidade com metas, mas pouca legitimidade. Mecanismos articulados entre si e abertos à participação comunitária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três eixos complementares: o Estado e a legitimação do poder; o controle democrático da polícia; e o policiamento comunitário diante da gestão por resultados.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Beetham (1991) acrescenta que a legitimidade não se esgota na legalidade: ela depende também de crenças compartilhadas e do consentimento expresso dos governados.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Complementarmente, Lui e Sales (2024) mapeiam a agenda do policiamento baseado em evidências. Quanto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A participação social, ademais,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A confiança na polícia, variável central desta pesquisa, é baixa no país, mas sensível ao contexto: Rolim e Hermann (2018) verificaram, em Porto Alegre, níveis inferiores aos de cidades menores, o que justifica investigar o interior. Por fim, a noção de pluralismo jurídico, presente na Linha 1, oferece chave analítica para a relação entre a polícia e os povos e comunidades tradicionais.</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dois ou três municípios do Extremo Sul da Bahia, a exemplo de Porto Seguro, Eunápolis e Teixeira de Freitas. A seleção definitiva considerará a existência de unidades de policiamento comunitário em funcionamento. O quadro a seguir relaciona cada objetivo específico às fontes, aos instrumentos e à forma de análise.</w:t>
      </w:r>
    </w:p>
    <w:tbl>
      <w:tblPr>
        <w:tblW w:type="dxa" w:w="907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left w:w="85" w:type="dxa"/>
          <w:bottom w:w="57" w:type="dxa"/>
          <w:right w:w="85" w:type="dxa"/>
        </w:tblCellMar>
        <w:tblLook w:firstRow="1" w:lastRow="0" w:firstColumn="0" w:lastColumn="0" w:noHBand="0" w:noVBand="0" w:val="0020"/>
        <w:jc w:val="start"/>
      </w:tblPr>
      <w:tblGrid>
        <w:gridCol w:w="1900"/>
        <w:gridCol w:w="2500"/>
        <w:gridCol w:w="2100"/>
        <w:gridCol w:w="2570"/>
      </w:tblGrid>
      <w:tr>
        <w:trPr>
          <w:tblHeader w:val="true"/>
        </w:trPr>
        <w:tc>
          <w:tcPr>
            <w:tcW w:w="1900" w:type="dxa"/>
            <w:shd w:val="clear" w:color="auto" w:fill="D9D9D9"/>
            <w:vAlign w:val="center"/>
          </w:tcPr>
          <w:p>
            <w:pPr>
              <w:pStyle w:val="Compact"/>
              <w:spacing w:line="240" w:lineRule="auto"/>
              <w:jc w:val="left"/>
            </w:pPr>
            <w:r>
              <w:rPr>
                <w:rFonts w:ascii="Times New Roman" w:hAnsi="Times New Roman" w:eastAsia="Times New Roman" w:cs="Times New Roman"/>
                <w:b/>
                <w:sz w:val="20"/>
              </w:rPr>
              <w:t xml:space="preserve">Objetivo</w:t>
            </w:r>
          </w:p>
        </w:tc>
        <w:tc>
          <w:tcPr>
            <w:tcW w:w="2500" w:type="dxa"/>
            <w:shd w:val="clear" w:color="auto" w:fill="D9D9D9"/>
            <w:vAlign w:val="center"/>
          </w:tcPr>
          <w:p>
            <w:pPr>
              <w:pStyle w:val="Compact"/>
              <w:spacing w:line="240" w:lineRule="auto"/>
              <w:jc w:val="left"/>
            </w:pPr>
            <w:r>
              <w:rPr>
                <w:rFonts w:ascii="Times New Roman" w:hAnsi="Times New Roman" w:eastAsia="Times New Roman" w:cs="Times New Roman"/>
                <w:b/>
                <w:sz w:val="20"/>
              </w:rPr>
              <w:t xml:space="preserve">Participantes e fontes</w:t>
            </w:r>
          </w:p>
        </w:tc>
        <w:tc>
          <w:tcPr>
            <w:tcW w:w="2100" w:type="dxa"/>
            <w:shd w:val="clear" w:color="auto" w:fill="D9D9D9"/>
            <w:vAlign w:val="center"/>
          </w:tcPr>
          <w:p>
            <w:pPr>
              <w:pStyle w:val="Compact"/>
              <w:spacing w:line="240" w:lineRule="auto"/>
              <w:jc w:val="left"/>
            </w:pPr>
            <w:r>
              <w:rPr>
                <w:rFonts w:ascii="Times New Roman" w:hAnsi="Times New Roman" w:eastAsia="Times New Roman" w:cs="Times New Roman"/>
                <w:b/>
                <w:sz w:val="20"/>
              </w:rPr>
              <w:t xml:space="preserve">Instrumento</w:t>
            </w:r>
          </w:p>
        </w:tc>
        <w:tc>
          <w:tcPr>
            <w:tcW w:w="2570" w:type="dxa"/>
            <w:shd w:val="clear" w:color="auto" w:fill="D9D9D9"/>
            <w:vAlign w:val="center"/>
          </w:tcPr>
          <w:p>
            <w:pPr>
              <w:pStyle w:val="Compact"/>
              <w:spacing w:line="240" w:lineRule="auto"/>
              <w:jc w:val="left"/>
            </w:pPr>
            <w:r>
              <w:rPr>
                <w:rFonts w:ascii="Times New Roman" w:hAnsi="Times New Roman" w:eastAsia="Times New Roman" w:cs="Times New Roman"/>
                <w:b/>
                <w:sz w:val="20"/>
              </w:rPr>
              <w:t xml:space="preserve">Análise</w:t>
            </w:r>
          </w:p>
        </w:tc>
      </w:tr>
      <w:tr>
        <w:tc>
          <w:tcPr>
            <w:tcW w:w="1900" w:type="dxa"/>
            <w:vAlign w:val="center"/>
          </w:tcPr>
          <w:p>
            <w:pPr>
              <w:pStyle w:val="Compact"/>
              <w:spacing w:line="240" w:lineRule="auto"/>
              <w:jc w:val="left"/>
            </w:pPr>
            <w:r>
              <w:rPr>
                <w:rFonts w:ascii="Times New Roman" w:hAnsi="Times New Roman" w:eastAsia="Times New Roman" w:cs="Times New Roman"/>
                <w:b/>
                <w:sz w:val="20"/>
              </w:rPr>
              <w:t xml:space="preserve">a) Mapear as instâncias de controle</w:t>
            </w:r>
          </w:p>
        </w:tc>
        <w:tc>
          <w:tcPr>
            <w:tcW w:w="2500" w:type="dxa"/>
            <w:vAlign w:val="center"/>
          </w:tcPr>
          <w:p>
            <w:pPr>
              <w:pStyle w:val="Compact"/>
              <w:spacing w:line="240" w:lineRule="auto"/>
              <w:jc w:val="left"/>
            </w:pPr>
            <w:r>
              <w:rPr>
                <w:rFonts w:ascii="Times New Roman" w:hAnsi="Times New Roman" w:eastAsia="Times New Roman" w:cs="Times New Roman"/>
                <w:sz w:val="20"/>
              </w:rPr>
              <w:t xml:space="preserve">Normas, relatórios da Corregedoria, do MP-BA e da Ouvidoria; atas de conselhos comunitários</w:t>
            </w:r>
          </w:p>
        </w:tc>
        <w:tc>
          <w:tcPr>
            <w:tcW w:w="2100" w:type="dxa"/>
            <w:vAlign w:val="center"/>
          </w:tcPr>
          <w:p>
            <w:pPr>
              <w:pStyle w:val="Compact"/>
              <w:spacing w:line="240" w:lineRule="auto"/>
              <w:jc w:val="left"/>
            </w:pPr>
            <w:r>
              <w:rPr>
                <w:rFonts w:ascii="Times New Roman" w:hAnsi="Times New Roman" w:eastAsia="Times New Roman" w:cs="Times New Roman"/>
                <w:sz w:val="20"/>
              </w:rPr>
              <w:t xml:space="preserve">Pesquisa documental e pedidos via Lei de Acesso à Informação</w:t>
            </w:r>
          </w:p>
        </w:tc>
        <w:tc>
          <w:tcPr>
            <w:tcW w:w="2570" w:type="dxa"/>
            <w:vAlign w:val="center"/>
          </w:tcPr>
          <w:p>
            <w:pPr>
              <w:pStyle w:val="Compact"/>
              <w:spacing w:line="240" w:lineRule="auto"/>
              <w:jc w:val="left"/>
            </w:pPr>
            <w:r>
              <w:rPr>
                <w:rFonts w:ascii="Times New Roman" w:hAnsi="Times New Roman" w:eastAsia="Times New Roman" w:cs="Times New Roman"/>
                <w:sz w:val="20"/>
              </w:rPr>
              <w:t xml:space="preserve">Análise documental e de fluxos institucionais</w:t>
            </w:r>
          </w:p>
        </w:tc>
      </w:tr>
      <w:tr>
        <w:tc>
          <w:tcPr>
            <w:tcW w:w="1900" w:type="dxa"/>
            <w:shd w:val="clear" w:color="auto" w:fill="F2F2F2"/>
            <w:vAlign w:val="center"/>
          </w:tcPr>
          <w:p>
            <w:pPr>
              <w:pStyle w:val="Compact"/>
              <w:spacing w:line="240" w:lineRule="auto"/>
              <w:jc w:val="left"/>
            </w:pPr>
            <w:r>
              <w:rPr>
                <w:rFonts w:ascii="Times New Roman" w:hAnsi="Times New Roman" w:eastAsia="Times New Roman" w:cs="Times New Roman"/>
                <w:b/>
                <w:sz w:val="20"/>
              </w:rPr>
              <w:t xml:space="preserve">b) Examinar os indicadores do Pacto pela Vida</w:t>
            </w:r>
          </w:p>
        </w:tc>
        <w:tc>
          <w:tcPr>
            <w:tcW w:w="250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Bases de dados da SSP-BA e planos de metas</w:t>
            </w:r>
          </w:p>
        </w:tc>
        <w:tc>
          <w:tcPr>
            <w:tcW w:w="210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Coleta de séries históricas (2015-2026)</w:t>
            </w:r>
          </w:p>
        </w:tc>
        <w:tc>
          <w:tcPr>
            <w:tcW w:w="257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Estatística descritiva</w:t>
            </w:r>
          </w:p>
        </w:tc>
      </w:tr>
      <w:tr>
        <w:tc>
          <w:tcPr>
            <w:tcW w:w="1900" w:type="dxa"/>
            <w:vAlign w:val="center"/>
          </w:tcPr>
          <w:p>
            <w:pPr>
              <w:pStyle w:val="Compact"/>
              <w:spacing w:line="240" w:lineRule="auto"/>
              <w:jc w:val="left"/>
            </w:pPr>
            <w:r>
              <w:rPr>
                <w:rFonts w:ascii="Times New Roman" w:hAnsi="Times New Roman" w:eastAsia="Times New Roman" w:cs="Times New Roman"/>
                <w:b/>
                <w:sz w:val="20"/>
              </w:rPr>
              <w:t xml:space="preserve">c) Compreender as percepções dos atores</w:t>
            </w:r>
          </w:p>
        </w:tc>
        <w:tc>
          <w:tcPr>
            <w:tcW w:w="2500" w:type="dxa"/>
            <w:vAlign w:val="center"/>
          </w:tcPr>
          <w:p>
            <w:pPr>
              <w:pStyle w:val="Compact"/>
              <w:spacing w:line="240" w:lineRule="auto"/>
              <w:jc w:val="left"/>
            </w:pPr>
            <w:r>
              <w:rPr>
                <w:rFonts w:ascii="Times New Roman" w:hAnsi="Times New Roman" w:eastAsia="Times New Roman" w:cs="Times New Roman"/>
                <w:sz w:val="20"/>
              </w:rPr>
              <w:t xml:space="preserve">Cerca de 30 participantes: policiais, gestores, promotores de justiça, conselheiros e lideranças comunitárias</w:t>
            </w:r>
          </w:p>
        </w:tc>
        <w:tc>
          <w:tcPr>
            <w:tcW w:w="2100" w:type="dxa"/>
            <w:vAlign w:val="center"/>
          </w:tcPr>
          <w:p>
            <w:pPr>
              <w:pStyle w:val="Compact"/>
              <w:spacing w:line="240" w:lineRule="auto"/>
              <w:jc w:val="left"/>
            </w:pPr>
            <w:r>
              <w:rPr>
                <w:rFonts w:ascii="Times New Roman" w:hAnsi="Times New Roman" w:eastAsia="Times New Roman" w:cs="Times New Roman"/>
                <w:sz w:val="20"/>
              </w:rPr>
              <w:t xml:space="preserve">Entrevistas semiestruturadas</w:t>
            </w:r>
          </w:p>
        </w:tc>
        <w:tc>
          <w:tcPr>
            <w:tcW w:w="2570" w:type="dxa"/>
            <w:vAlign w:val="center"/>
          </w:tcPr>
          <w:p>
            <w:pPr>
              <w:pStyle w:val="Compact"/>
              <w:spacing w:line="240" w:lineRule="auto"/>
              <w:jc w:val="left"/>
            </w:pPr>
            <w:r>
              <w:rPr>
                <w:rFonts w:ascii="Times New Roman" w:hAnsi="Times New Roman" w:eastAsia="Times New Roman" w:cs="Times New Roman"/>
                <w:sz w:val="20"/>
              </w:rPr>
              <w:t xml:space="preserve">Análise de conteúdo (BARDIN, 2016)</w:t>
            </w:r>
          </w:p>
        </w:tc>
      </w:tr>
      <w:tr>
        <w:tc>
          <w:tcPr>
            <w:tcW w:w="1900" w:type="dxa"/>
            <w:shd w:val="clear" w:color="auto" w:fill="F2F2F2"/>
            <w:vAlign w:val="center"/>
          </w:tcPr>
          <w:p>
            <w:pPr>
              <w:pStyle w:val="Compact"/>
              <w:spacing w:line="240" w:lineRule="auto"/>
              <w:jc w:val="left"/>
            </w:pPr>
            <w:r>
              <w:rPr>
                <w:rFonts w:ascii="Times New Roman" w:hAnsi="Times New Roman" w:eastAsia="Times New Roman" w:cs="Times New Roman"/>
                <w:b/>
                <w:sz w:val="20"/>
              </w:rPr>
              <w:t xml:space="preserve">d) Verificar variações por raça e território</w:t>
            </w:r>
          </w:p>
        </w:tc>
        <w:tc>
          <w:tcPr>
            <w:tcW w:w="250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Moradores de bairros periféricos, aldeias indígenas e comunidades quilombolas</w:t>
            </w:r>
          </w:p>
        </w:tc>
        <w:tc>
          <w:tcPr>
            <w:tcW w:w="210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Grupos focais (de dois a quatro) e questionário breve sobre confiança</w:t>
            </w:r>
          </w:p>
        </w:tc>
        <w:tc>
          <w:tcPr>
            <w:tcW w:w="257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Análise comparativa entre grupos</w:t>
            </w:r>
          </w:p>
        </w:tc>
      </w:tr>
      <w:tr>
        <w:tc>
          <w:tcPr>
            <w:tcW w:w="1900" w:type="dxa"/>
            <w:vAlign w:val="center"/>
          </w:tcPr>
          <w:p>
            <w:pPr>
              <w:pStyle w:val="Compact"/>
              <w:spacing w:line="240" w:lineRule="auto"/>
              <w:jc w:val="left"/>
            </w:pPr>
            <w:r>
              <w:rPr>
                <w:rFonts w:ascii="Times New Roman" w:hAnsi="Times New Roman" w:eastAsia="Times New Roman" w:cs="Times New Roman"/>
                <w:b/>
                <w:sz w:val="20"/>
              </w:rPr>
              <w:t xml:space="preserve">e) Propor a matriz de indicadores</w:t>
            </w:r>
          </w:p>
        </w:tc>
        <w:tc>
          <w:tcPr>
            <w:tcW w:w="2500" w:type="dxa"/>
            <w:vAlign w:val="center"/>
          </w:tcPr>
          <w:p>
            <w:pPr>
              <w:pStyle w:val="Compact"/>
              <w:spacing w:line="240" w:lineRule="auto"/>
              <w:jc w:val="left"/>
            </w:pPr>
            <w:r>
              <w:rPr>
                <w:rFonts w:ascii="Times New Roman" w:hAnsi="Times New Roman" w:eastAsia="Times New Roman" w:cs="Times New Roman"/>
                <w:sz w:val="20"/>
              </w:rPr>
              <w:t xml:space="preserve">Participantes das etapas anteriores</w:t>
            </w:r>
          </w:p>
        </w:tc>
        <w:tc>
          <w:tcPr>
            <w:tcW w:w="2100" w:type="dxa"/>
            <w:vAlign w:val="center"/>
          </w:tcPr>
          <w:p>
            <w:pPr>
              <w:pStyle w:val="Compact"/>
              <w:spacing w:line="240" w:lineRule="auto"/>
              <w:jc w:val="left"/>
            </w:pPr>
            <w:r>
              <w:rPr>
                <w:rFonts w:ascii="Times New Roman" w:hAnsi="Times New Roman" w:eastAsia="Times New Roman" w:cs="Times New Roman"/>
                <w:sz w:val="20"/>
              </w:rPr>
              <w:t xml:space="preserve">Oficina devolutiva</w:t>
            </w:r>
          </w:p>
        </w:tc>
        <w:tc>
          <w:tcPr>
            <w:tcW w:w="2570" w:type="dxa"/>
            <w:vAlign w:val="center"/>
          </w:tcPr>
          <w:p>
            <w:pPr>
              <w:pStyle w:val="Compact"/>
              <w:spacing w:line="240" w:lineRule="auto"/>
              <w:jc w:val="left"/>
            </w:pPr>
            <w:r>
              <w:rPr>
                <w:rFonts w:ascii="Times New Roman" w:hAnsi="Times New Roman" w:eastAsia="Times New Roman" w:cs="Times New Roman"/>
                <w:sz w:val="20"/>
              </w:rPr>
              <w:t xml:space="preserve">Síntese participativa</w:t>
            </w:r>
          </w:p>
        </w:tc>
      </w:tr>
    </w:tbl>
    <w:p>
      <w:pPr>
        <w:pStyle w:val="BodyText"/>
        <w:spacing w:line="360" w:lineRule="auto" w:before="24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Será igualmente solicitada a anuência institucional da Polícia Militar. O vínculo profissional do pesquisador com a instituição estudada será tratado com reflexividade, reconhecido tanto como limite potencial quanto como condição privilegiada de acesso ao campo. Para reduzir o risco de respostas condicionadas pela hierarquia, as entrevistas com policiais serão realizadas fora do ambiente de trabalho e sem relação de subordinação com o pesquisador. Reconhecem-se, ainda, duas limitações: o eventual indeferimento ou atraso de pedidos via Lei de Acesso à Informação, a ser contornado por recursos administrativos e pela triangulação com fontes públicas; e o alcance restrito dos achados, próprio do estudo de casos múltiplos, que não autoriza generalização estatística para o estado, mas permite generalização analítica a contextos interioranos semelhantes.</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contribuição inédita para o estudo do interior baiano. Por fim, no plano social e profissional, pretende-se entregar à Secretaria da Segurança Pública, ao Ministério Público e aos conselhos comunitários uma matriz de indicadores de qualidade e confiança,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tbl>
      <w:tblPr>
        <w:tblW w:type="dxa" w:w="907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left w:w="85" w:type="dxa"/>
          <w:bottom w:w="57" w:type="dxa"/>
          <w:right w:w="85" w:type="dxa"/>
        </w:tblCellMar>
        <w:tblLook w:firstRow="1" w:lastRow="0" w:firstColumn="0" w:lastColumn="0" w:noHBand="0" w:noVBand="0" w:val="0020"/>
        <w:jc w:val="start"/>
      </w:tblPr>
      <w:tblGrid>
        <w:gridCol w:w="1700"/>
        <w:gridCol w:w="7370"/>
      </w:tblGrid>
      <w:tr>
        <w:trPr>
          <w:tblHeader w:val="true"/>
        </w:trPr>
        <w:tc>
          <w:tcPr>
            <w:tcW w:w="1700" w:type="dxa"/>
            <w:shd w:val="clear" w:color="auto" w:fill="D9D9D9"/>
            <w:vAlign w:val="center"/>
          </w:tcPr>
          <w:p>
            <w:pPr>
              <w:pStyle w:val="Compact"/>
              <w:spacing w:line="240" w:lineRule="auto"/>
              <w:jc w:val="left"/>
            </w:pPr>
            <w:r>
              <w:rPr>
                <w:rFonts w:ascii="Times New Roman" w:hAnsi="Times New Roman" w:eastAsia="Times New Roman" w:cs="Times New Roman"/>
                <w:b/>
                <w:sz w:val="20"/>
              </w:rPr>
              <w:t xml:space="preserve">Período</w:t>
            </w:r>
          </w:p>
        </w:tc>
        <w:tc>
          <w:tcPr>
            <w:tcW w:w="7370" w:type="dxa"/>
            <w:shd w:val="clear" w:color="auto" w:fill="D9D9D9"/>
            <w:vAlign w:val="center"/>
          </w:tcPr>
          <w:p>
            <w:pPr>
              <w:pStyle w:val="Compact"/>
              <w:spacing w:line="240" w:lineRule="auto"/>
              <w:jc w:val="left"/>
            </w:pPr>
            <w:r>
              <w:rPr>
                <w:rFonts w:ascii="Times New Roman" w:hAnsi="Times New Roman" w:eastAsia="Times New Roman" w:cs="Times New Roman"/>
                <w:b/>
                <w:sz w:val="20"/>
              </w:rPr>
              <w:t xml:space="preserve">Atividades</w:t>
            </w:r>
          </w:p>
        </w:tc>
      </w:tr>
      <w:tr>
        <w:tc>
          <w:tcPr>
            <w:tcW w:w="1700" w:type="dxa"/>
            <w:vAlign w:val="center"/>
          </w:tcPr>
          <w:p>
            <w:pPr>
              <w:pStyle w:val="Compact"/>
              <w:spacing w:line="240" w:lineRule="auto"/>
              <w:jc w:val="left"/>
            </w:pPr>
            <w:r>
              <w:rPr>
                <w:rFonts w:ascii="Times New Roman" w:hAnsi="Times New Roman" w:eastAsia="Times New Roman" w:cs="Times New Roman"/>
                <w:b/>
                <w:sz w:val="20"/>
              </w:rPr>
              <w:t xml:space="preserve">Ano 1 (2027)</w:t>
            </w:r>
          </w:p>
        </w:tc>
        <w:tc>
          <w:tcPr>
            <w:tcW w:w="7370" w:type="dxa"/>
            <w:vAlign w:val="center"/>
          </w:tcPr>
          <w:p>
            <w:pPr>
              <w:pStyle w:val="Compact"/>
              <w:spacing w:line="240" w:lineRule="auto"/>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c>
          <w:tcPr>
            <w:tcW w:w="1700" w:type="dxa"/>
            <w:shd w:val="clear" w:color="auto" w:fill="F2F2F2"/>
            <w:vAlign w:val="center"/>
          </w:tcPr>
          <w:p>
            <w:pPr>
              <w:pStyle w:val="Compact"/>
              <w:spacing w:line="240" w:lineRule="auto"/>
              <w:jc w:val="left"/>
            </w:pPr>
            <w:r>
              <w:rPr>
                <w:rFonts w:ascii="Times New Roman" w:hAnsi="Times New Roman" w:eastAsia="Times New Roman" w:cs="Times New Roman"/>
                <w:b/>
                <w:sz w:val="20"/>
              </w:rPr>
              <w:t xml:space="preserve">Ano 2 (2028)</w:t>
            </w:r>
          </w:p>
        </w:tc>
        <w:tc>
          <w:tcPr>
            <w:tcW w:w="737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Entrevistas e grupos focais; análise das séries de indicadores; exame de qualificação</w:t>
            </w:r>
          </w:p>
        </w:tc>
      </w:tr>
      <w:tr>
        <w:tc>
          <w:tcPr>
            <w:tcW w:w="1700" w:type="dxa"/>
            <w:vAlign w:val="center"/>
          </w:tcPr>
          <w:p>
            <w:pPr>
              <w:pStyle w:val="Compact"/>
              <w:spacing w:line="240" w:lineRule="auto"/>
              <w:jc w:val="left"/>
            </w:pPr>
            <w:r>
              <w:rPr>
                <w:rFonts w:ascii="Times New Roman" w:hAnsi="Times New Roman" w:eastAsia="Times New Roman" w:cs="Times New Roman"/>
                <w:b/>
                <w:sz w:val="20"/>
              </w:rPr>
              <w:t xml:space="preserve">Ano 3 (2029)</w:t>
            </w:r>
          </w:p>
        </w:tc>
        <w:tc>
          <w:tcPr>
            <w:tcW w:w="7370" w:type="dxa"/>
            <w:vAlign w:val="center"/>
          </w:tcPr>
          <w:p>
            <w:pPr>
              <w:pStyle w:val="Compact"/>
              <w:spacing w:line="240" w:lineRule="auto"/>
              <w:jc w:val="left"/>
            </w:pPr>
            <w:r>
              <w:rPr>
                <w:rFonts w:ascii="Times New Roman" w:hAnsi="Times New Roman" w:eastAsia="Times New Roman" w:cs="Times New Roman"/>
                <w:sz w:val="20"/>
              </w:rPr>
              <w:t xml:space="preserve">Análise dos dados; publicação de artigos; oficina devolutiva</w:t>
            </w:r>
          </w:p>
        </w:tc>
      </w:tr>
      <w:tr>
        <w:tc>
          <w:tcPr>
            <w:tcW w:w="1700" w:type="dxa"/>
            <w:shd w:val="clear" w:color="auto" w:fill="F2F2F2"/>
            <w:vAlign w:val="center"/>
          </w:tcPr>
          <w:p>
            <w:pPr>
              <w:pStyle w:val="Compact"/>
              <w:spacing w:line="240" w:lineRule="auto"/>
              <w:jc w:val="left"/>
            </w:pPr>
            <w:r>
              <w:rPr>
                <w:rFonts w:ascii="Times New Roman" w:hAnsi="Times New Roman" w:eastAsia="Times New Roman" w:cs="Times New Roman"/>
                <w:b/>
                <w:sz w:val="20"/>
              </w:rPr>
              <w:t xml:space="preserve">Ano 4 (2030)</w:t>
            </w:r>
          </w:p>
        </w:tc>
        <w:tc>
          <w:tcPr>
            <w:tcW w:w="7370" w:type="dxa"/>
            <w:shd w:val="clear" w:color="auto" w:fill="F2F2F2"/>
            <w:vAlign w:val="center"/>
          </w:tcPr>
          <w:p>
            <w:pPr>
              <w:pStyle w:val="Compact"/>
              <w:spacing w:line="240" w:lineRule="auto"/>
              <w:jc w:val="left"/>
            </w:pPr>
            <w:r>
              <w:rPr>
                <w:rFonts w:ascii="Times New Roman" w:hAnsi="Times New Roman" w:eastAsia="Times New Roman" w:cs="Times New Roman"/>
                <w:sz w:val="20"/>
              </w:rPr>
              <w:t xml:space="preserve">Elaboração da matriz de indicadores; redação final; defesa</w:t>
            </w:r>
          </w:p>
        </w:tc>
      </w:tr>
    </w:tbl>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2025</w:t>
      </w:r>
      <w:r>
        <w:rPr>
          <w:rFonts w:ascii="Times New Roman" w:hAnsi="Times New Roman" w:eastAsia="Times New Roman" w:cs="Times New Roman"/>
          <w:sz w:val="24"/>
        </w:rPr>
        <w:t xml:space="preserve">. São Paulo: FBSP, 2025.</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SOUSA, L. H. S. </w:t>
      </w:r>
      <w:r>
        <w:rPr>
          <w:b/>
          <w:rFonts w:ascii="Times New Roman" w:hAnsi="Times New Roman" w:eastAsia="Times New Roman" w:cs="Times New Roman"/>
          <w:sz w:val="24"/>
        </w:rPr>
        <w:t xml:space="preserve">Os indicadores de desempenho como mecanismo de controle na atividade de policiamento comunitário</w:t>
      </w:r>
      <w:r>
        <w:rPr>
          <w:rFonts w:ascii="Times New Roman" w:hAnsi="Times New Roman" w:eastAsia="Times New Roman" w:cs="Times New Roman"/>
          <w:sz w:val="24"/>
        </w:rPr>
        <w:t xml:space="preserve">. 2024. Dissertação (Mestrado Profissional em Segurança Pública, Justiça e Cidadania) – Escola de Administração/Faculdade de Direito, Universidade Federal da Bahia, Salvador, 2024.</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à busca bibliográfica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2026-10-19T13:23:11Z</dcterms:created>
  <dcterms:modified xsi:type="dcterms:W3CDTF">2026-10-19T13:23:11Z</dcterms:modified>
</cp:coreProperties>
</file>

<file path=docProps/custom.xml><?xml version="1.0" encoding="utf-8"?>
<Properties xmlns="http://schemas.openxmlformats.org/officeDocument/2006/custom-properties" xmlns:vt="http://schemas.openxmlformats.org/officeDocument/2006/docPropsVTypes"/>
</file>