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 w:after="320"/>
        <w:jc w:val="center"/>
      </w:pPr>
      <w:r>
        <w:rPr>
          <w:rFonts w:ascii="Calibri" w:hAnsi="Calibri"/>
          <w:b/>
          <w:color w:val="6856C7"/>
          <w:sz w:val="19"/>
        </w:rPr>
        <w:t>AUDITORIA DE PRODUTO</w:t>
      </w:r>
    </w:p>
    <w:p>
      <w:pPr>
        <w:spacing w:after="240"/>
        <w:jc w:val="center"/>
      </w:pPr>
      <w:r>
        <w:rPr>
          <w:rFonts w:ascii="Calibri" w:hAnsi="Calibri"/>
          <w:b/>
          <w:color w:val="14105A"/>
          <w:sz w:val="60"/>
        </w:rPr>
        <w:t>Diagnóstico completo da</w:t>
        <w:br/>
        <w:t>Assessora Aura</w:t>
      </w:r>
    </w:p>
    <w:p>
      <w:pPr>
        <w:spacing w:after="680"/>
        <w:jc w:val="center"/>
      </w:pPr>
      <w:r>
        <w:rPr>
          <w:rFonts w:ascii="Calibri" w:hAnsi="Calibri"/>
          <w:i/>
          <w:color w:val="66677A"/>
          <w:sz w:val="27"/>
        </w:rPr>
        <w:t>Funcionamento real, dados, recomendações, evolução temporal, inconsistências e melhorias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1EEFF" w:val="clea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6856C7"/>
                <w:sz w:val="18"/>
              </w:rPr>
              <w:t>Projeto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BFAFF" w:val="clea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2233A"/>
                <w:sz w:val="18"/>
              </w:rPr>
              <w:t>Terapeuta Eu Sou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1EEFF" w:val="clea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6856C7"/>
                <w:sz w:val="18"/>
              </w:rPr>
              <w:t>Rota auditada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BFAFF" w:val="clea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2233A"/>
                <w:sz w:val="18"/>
              </w:rPr>
              <w:t>/terapeuta/assessor-ia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1EEFF" w:val="clea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6856C7"/>
                <w:sz w:val="18"/>
              </w:rPr>
              <w:t>Data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BFAFF" w:val="clea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2233A"/>
                <w:sz w:val="18"/>
              </w:rPr>
              <w:t>24/08/2026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1EEFF" w:val="clea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6856C7"/>
                <w:sz w:val="18"/>
              </w:rPr>
              <w:t>Escopo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BFAFF" w:val="clea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2233A"/>
                <w:sz w:val="18"/>
              </w:rPr>
              <w:t>Checkout local + Supabase local; HML e produção não homologados</w:t>
            </w:r>
          </w:p>
        </w:tc>
      </w:tr>
    </w:tbl>
    <w:p>
      <w:pPr>
        <w:spacing w:before="1080"/>
        <w:jc w:val="center"/>
      </w:pPr>
      <w:r>
        <w:rPr>
          <w:rFonts w:ascii="Calibri" w:hAnsi="Calibri"/>
          <w:b/>
          <w:color w:val="8A6500"/>
          <w:sz w:val="22"/>
        </w:rPr>
        <w:t>Localmente compatível e testada; HML/produção ainda não comprovadas.</w:t>
      </w:r>
    </w:p>
    <w:p>
      <w:r>
        <w:br w:type="page"/>
      </w:r>
    </w:p>
    <w:p>
      <w:pPr>
        <w:spacing w:after="20"/>
      </w:pPr>
    </w:p>
    <w:p>
      <w:pPr>
        <w:pStyle w:val="Heading1"/>
        <w:keepNext/>
        <w:pageBreakBefore w:val="0"/>
      </w:pPr>
      <w:r>
        <w:rPr>
          <w:rFonts w:ascii="Calibri" w:hAnsi="Calibri"/>
          <w:b/>
          <w:color w:val="14105A"/>
          <w:sz w:val="34"/>
        </w:rPr>
        <w:t>Funcionamento real, dados, recomendações, evolução temporal, inconsistências e melhorias</w:t>
      </w:r>
    </w:p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b/>
          <w:color w:val="22233A"/>
          <w:sz w:val="21"/>
        </w:rPr>
        <w:t>Projeto:</w:t>
      </w:r>
      <w:r>
        <w:rPr>
          <w:rFonts w:ascii="Calibri" w:hAnsi="Calibri"/>
          <w:color w:val="22233A"/>
          <w:sz w:val="21"/>
        </w:rPr>
        <w:t xml:space="preserve"> Terapeuta Eu Sou  </w:t>
      </w:r>
    </w:p>
    <w:p>
      <w:pPr>
        <w:spacing w:before="0" w:after="120" w:line="300" w:lineRule="auto"/>
      </w:pPr>
      <w:r>
        <w:rPr>
          <w:rFonts w:ascii="Calibri" w:hAnsi="Calibri"/>
          <w:b/>
          <w:color w:val="22233A"/>
          <w:sz w:val="21"/>
        </w:rPr>
        <w:t>Rota auditada:</w:t>
      </w:r>
      <w:r>
        <w:rPr>
          <w:rFonts w:ascii="Calibri" w:hAnsi="Calibri"/>
          <w:color w:val="22233A"/>
          <w:sz w:val="21"/>
        </w:rPr>
        <w:t xml:space="preserve"> </w:t>
      </w:r>
      <w:r>
        <w:rPr>
          <w:rFonts w:ascii="Consolas" w:hAnsi="Consolas"/>
          <w:color w:val="6856C7"/>
          <w:sz w:val="18"/>
        </w:rPr>
        <w:t>/terapeuta/assessor-ia</w:t>
      </w:r>
      <w:r>
        <w:rPr>
          <w:rFonts w:ascii="Calibri" w:hAnsi="Calibri"/>
          <w:color w:val="22233A"/>
          <w:sz w:val="21"/>
        </w:rPr>
        <w:t xml:space="preserve">  </w:t>
      </w:r>
    </w:p>
    <w:p>
      <w:pPr>
        <w:spacing w:before="0" w:after="120" w:line="300" w:lineRule="auto"/>
      </w:pPr>
      <w:r>
        <w:rPr>
          <w:rFonts w:ascii="Calibri" w:hAnsi="Calibri"/>
          <w:b/>
          <w:color w:val="22233A"/>
          <w:sz w:val="21"/>
        </w:rPr>
        <w:t>Data da análise:</w:t>
      </w:r>
      <w:r>
        <w:rPr>
          <w:rFonts w:ascii="Calibri" w:hAnsi="Calibri"/>
          <w:color w:val="22233A"/>
          <w:sz w:val="21"/>
        </w:rPr>
        <w:t xml:space="preserve"> 24/08/2026  </w:t>
      </w:r>
    </w:p>
    <w:p>
      <w:pPr>
        <w:spacing w:before="0" w:after="120" w:line="300" w:lineRule="auto"/>
      </w:pPr>
      <w:r>
        <w:rPr>
          <w:rFonts w:ascii="Calibri" w:hAnsi="Calibri"/>
          <w:b/>
          <w:color w:val="22233A"/>
          <w:sz w:val="21"/>
        </w:rPr>
        <w:t>Escopo:</w:t>
      </w:r>
      <w:r>
        <w:rPr>
          <w:rFonts w:ascii="Calibri" w:hAnsi="Calibri"/>
          <w:color w:val="22233A"/>
          <w:sz w:val="21"/>
        </w:rPr>
        <w:t xml:space="preserve"> checkout local do projeto e Supabase local em Docker  </w:t>
      </w:r>
    </w:p>
    <w:p>
      <w:pPr>
        <w:spacing w:before="0" w:after="120" w:line="300" w:lineRule="auto"/>
      </w:pPr>
      <w:r>
        <w:rPr>
          <w:rFonts w:ascii="Calibri" w:hAnsi="Calibri"/>
          <w:b/>
          <w:color w:val="22233A"/>
          <w:sz w:val="21"/>
        </w:rPr>
        <w:t>Estado do diagnóstico:</w:t>
      </w:r>
      <w:r>
        <w:rPr>
          <w:rFonts w:ascii="Calibri" w:hAnsi="Calibri"/>
          <w:color w:val="22233A"/>
          <w:sz w:val="21"/>
        </w:rPr>
        <w:t xml:space="preserve"> código e base local verificados; HML, remoto e produção não foram homologados nesta análise.</w:t>
      </w:r>
    </w:p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1EEFF" w:val="clear"/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color w:val="14105A"/>
                <w:sz w:val="21"/>
              </w:rPr>
              <w:t>Veredito executivo</w:t>
            </w:r>
            <w:r>
              <w:br/>
            </w:r>
            <w:r>
              <w:rPr>
                <w:rFonts w:ascii="Calibri" w:hAnsi="Calibri"/>
                <w:color w:val="22233A"/>
                <w:sz w:val="21"/>
              </w:rPr>
              <w:t>&gt;</w:t>
            </w:r>
            <w:r>
              <w:br/>
            </w:r>
            <w:r>
              <w:rPr>
                <w:rFonts w:ascii="Calibri" w:hAnsi="Calibri"/>
                <w:color w:val="22233A"/>
                <w:sz w:val="21"/>
              </w:rPr>
              <w:t>A Assessora Aura está implementada como um MVP funcional de recomendações determinísticas. Ela consulta um RPC privado, calcula sinais agregados do próprio terapeuta e aplica cinco regras versionadas. Não existe, neste fluxo, LLM, chat, embeddings, análise de sentimento ou aprendizado automático. Portanto, a Aura pode trazer dados reais e compatíveis com os registros transacionais locais, mas ainda não é possível afirmar que esteja conectada e validada com dados de HML ou produção.</w:t>
            </w:r>
            <w:r>
              <w:br/>
            </w:r>
            <w:r>
              <w:rPr>
                <w:rFonts w:ascii="Calibri" w:hAnsi="Calibri"/>
                <w:color w:val="22233A"/>
                <w:sz w:val="21"/>
              </w:rPr>
              <w:t>&gt;</w:t>
            </w:r>
            <w:r>
              <w:br/>
            </w:r>
            <w:r>
              <w:rPr>
                <w:rFonts w:ascii="Calibri" w:hAnsi="Calibri"/>
                <w:color w:val="22233A"/>
                <w:sz w:val="21"/>
              </w:rPr>
              <w:t xml:space="preserve">Também existe uma divergência importante: a página dedicada usa o novo contrato RPC + regras server-only, enquanto o card do dashboard ainda lê diretamente a tabela legada </w:t>
            </w:r>
            <w:r>
              <w:rPr>
                <w:rFonts w:ascii="Consolas" w:hAnsi="Consolas"/>
                <w:color w:val="6856C7"/>
                <w:sz w:val="18"/>
              </w:rPr>
              <w:t>aura_recommendations</w:t>
            </w:r>
            <w:r>
              <w:rPr>
                <w:rFonts w:ascii="Calibri" w:hAnsi="Calibri"/>
                <w:color w:val="22233A"/>
                <w:sz w:val="21"/>
              </w:rPr>
              <w:t xml:space="preserve">. Essa duplicidade pode fazer o terapeuta ver recomendações diferentes em </w:t>
            </w:r>
            <w:r>
              <w:rPr>
                <w:rFonts w:ascii="Consolas" w:hAnsi="Consolas"/>
                <w:color w:val="6856C7"/>
                <w:sz w:val="18"/>
              </w:rPr>
              <w:t>/terapeuta</w:t>
            </w:r>
            <w:r>
              <w:rPr>
                <w:rFonts w:ascii="Calibri" w:hAnsi="Calibri"/>
                <w:color w:val="22233A"/>
                <w:sz w:val="21"/>
              </w:rPr>
              <w:t xml:space="preserve"> e em </w:t>
            </w:r>
            <w:r>
              <w:rPr>
                <w:rFonts w:ascii="Consolas" w:hAnsi="Consolas"/>
                <w:color w:val="6856C7"/>
                <w:sz w:val="18"/>
              </w:rPr>
              <w:t>/terapeuta/assessor-ia</w:t>
            </w:r>
            <w:r>
              <w:rPr>
                <w:rFonts w:ascii="Calibri" w:hAnsi="Calibri"/>
                <w:color w:val="22233A"/>
                <w:sz w:val="21"/>
              </w:rPr>
              <w:t>.</w:t>
            </w:r>
          </w:p>
        </w:tc>
      </w:tr>
    </w:tbl>
    <w:p>
      <w:pPr>
        <w:spacing w:after="40"/>
      </w:pPr>
    </w:p>
    <w:p>
      <w:pPr>
        <w:spacing w:after="20"/>
      </w:pPr>
    </w:p>
    <w:p>
      <w:pPr>
        <w:pStyle w:val="Heading1"/>
        <w:keepNext/>
        <w:pageBreakBefore/>
      </w:pPr>
      <w:r>
        <w:rPr>
          <w:rFonts w:ascii="Calibri" w:hAnsi="Calibri"/>
          <w:b/>
          <w:color w:val="14105A"/>
          <w:sz w:val="34"/>
        </w:rPr>
        <w:t>1. Resumo das conclusões</w:t>
      </w:r>
    </w:p>
    <w:p>
      <w:pPr>
        <w:spacing w:after="20"/>
      </w:pPr>
    </w:p>
    <w:p>
      <w:pPr>
        <w:pStyle w:val="ListNumber"/>
        <w:spacing w:before="0" w:after="80" w:line="288" w:lineRule="auto"/>
        <w:ind w:left="720" w:hanging="360"/>
      </w:pPr>
      <w:r>
        <w:rPr>
          <w:rFonts w:ascii="Calibri" w:hAnsi="Calibri"/>
          <w:b/>
          <w:color w:val="22233A"/>
          <w:sz w:val="21"/>
        </w:rPr>
        <w:t>O nome público correto é “Assessora Aura”.</w:t>
      </w:r>
      <w:r>
        <w:rPr>
          <w:rFonts w:ascii="Calibri" w:hAnsi="Calibri"/>
          <w:color w:val="22233A"/>
          <w:sz w:val="21"/>
        </w:rPr>
        <w:t xml:space="preserve"> O título da página estava como “Aura IA”. O título foi alinhado para “Assessora Aura” e o teste correspondente foi atualizado.</w:t>
      </w:r>
    </w:p>
    <w:p>
      <w:pPr>
        <w:pStyle w:val="ListNumber"/>
        <w:spacing w:before="0" w:after="80" w:line="288" w:lineRule="auto"/>
        <w:ind w:left="720" w:hanging="360"/>
      </w:pPr>
      <w:r>
        <w:rPr>
          <w:rFonts w:ascii="Calibri" w:hAnsi="Calibri"/>
          <w:b/>
          <w:color w:val="22233A"/>
          <w:sz w:val="21"/>
        </w:rPr>
        <w:t>A lógica atual é determinística, não generativa.</w:t>
      </w:r>
      <w:r>
        <w:rPr>
          <w:rFonts w:ascii="Calibri" w:hAnsi="Calibri"/>
          <w:color w:val="22233A"/>
          <w:sz w:val="21"/>
        </w:rPr>
        <w:t xml:space="preserve"> As recomendações são produzidas por condições explícitas, com prioridade e versão </w:t>
      </w:r>
      <w:r>
        <w:rPr>
          <w:rFonts w:ascii="Consolas" w:hAnsi="Consolas"/>
          <w:color w:val="6856C7"/>
          <w:sz w:val="18"/>
        </w:rPr>
        <w:t>1</w:t>
      </w:r>
      <w:r>
        <w:rPr>
          <w:rFonts w:ascii="Calibri" w:hAnsi="Calibri"/>
          <w:color w:val="22233A"/>
          <w:sz w:val="21"/>
        </w:rPr>
        <w:t>.</w:t>
      </w:r>
    </w:p>
    <w:p>
      <w:pPr>
        <w:pStyle w:val="ListNumber"/>
        <w:spacing w:before="0" w:after="80" w:line="288" w:lineRule="auto"/>
        <w:ind w:left="720" w:hanging="360"/>
      </w:pPr>
      <w:r>
        <w:rPr>
          <w:rFonts w:ascii="Calibri" w:hAnsi="Calibri"/>
          <w:b/>
          <w:color w:val="22233A"/>
          <w:sz w:val="21"/>
        </w:rPr>
        <w:t>As fontes principais são compatíveis com dados reais.</w:t>
      </w:r>
      <w:r>
        <w:rPr>
          <w:rFonts w:ascii="Calibri" w:hAnsi="Calibri"/>
          <w:color w:val="22233A"/>
          <w:sz w:val="21"/>
        </w:rPr>
        <w:t xml:space="preserve"> A Aura usa sessões, cancelamentos, ausências operacionais, continuidade, avaliações publicadas, serviços publicáveis e disponibilidade canônica.</w:t>
      </w:r>
    </w:p>
    <w:p>
      <w:pPr>
        <w:pStyle w:val="ListNumber"/>
        <w:spacing w:before="0" w:after="80" w:line="288" w:lineRule="auto"/>
        <w:ind w:left="720" w:hanging="360"/>
      </w:pPr>
      <w:r>
        <w:rPr>
          <w:rFonts w:ascii="Calibri" w:hAnsi="Calibri"/>
          <w:b/>
          <w:color w:val="22233A"/>
          <w:sz w:val="21"/>
        </w:rPr>
        <w:t>Há proteção de privacidade adequada no read model.</w:t>
      </w:r>
      <w:r>
        <w:rPr>
          <w:rFonts w:ascii="Calibri" w:hAnsi="Calibri"/>
          <w:color w:val="22233A"/>
          <w:sz w:val="21"/>
        </w:rPr>
        <w:t xml:space="preserve"> O RPC deriva o terapeuta de </w:t>
      </w:r>
      <w:r>
        <w:rPr>
          <w:rFonts w:ascii="Consolas" w:hAnsi="Consolas"/>
          <w:color w:val="6856C7"/>
          <w:sz w:val="18"/>
        </w:rPr>
        <w:t>auth.uid()</w:t>
      </w:r>
      <w:r>
        <w:rPr>
          <w:rFonts w:ascii="Calibri" w:hAnsi="Calibri"/>
          <w:color w:val="22233A"/>
          <w:sz w:val="21"/>
        </w:rPr>
        <w:t>, exige Premium Plus, não retorna identificadores de pacientes nem texto privado e bloqueia percentuais abaixo da amostra mínima de 10.</w:t>
      </w:r>
    </w:p>
    <w:p>
      <w:pPr>
        <w:pStyle w:val="ListNumber"/>
        <w:spacing w:before="0" w:after="80" w:line="288" w:lineRule="auto"/>
        <w:ind w:left="720" w:hanging="360"/>
      </w:pPr>
      <w:r>
        <w:rPr>
          <w:rFonts w:ascii="Calibri" w:hAnsi="Calibri"/>
          <w:b/>
          <w:color w:val="22233A"/>
          <w:sz w:val="21"/>
        </w:rPr>
        <w:t>O resultado muda com o tempo, mas não aprende.</w:t>
      </w:r>
      <w:r>
        <w:rPr>
          <w:rFonts w:ascii="Calibri" w:hAnsi="Calibri"/>
          <w:color w:val="22233A"/>
          <w:sz w:val="21"/>
        </w:rPr>
        <w:t xml:space="preserve"> Cada consulta recalcula o período escolhido. Ações do terapeuta não treinam a Aura; a única retroalimentação explícita é dispensar uma recomendação para aquele período.</w:t>
      </w:r>
    </w:p>
    <w:p>
      <w:pPr>
        <w:pStyle w:val="ListNumber"/>
        <w:spacing w:before="0" w:after="80" w:line="288" w:lineRule="auto"/>
        <w:ind w:left="720" w:hanging="360"/>
      </w:pPr>
      <w:r>
        <w:rPr>
          <w:rFonts w:ascii="Calibri" w:hAnsi="Calibri"/>
          <w:b/>
          <w:color w:val="22233A"/>
          <w:sz w:val="21"/>
        </w:rPr>
        <w:t>O seletor 30/90 não altera todos os dados.</w:t>
      </w:r>
      <w:r>
        <w:rPr>
          <w:rFonts w:ascii="Calibri" w:hAnsi="Calibri"/>
          <w:color w:val="22233A"/>
          <w:sz w:val="21"/>
        </w:rPr>
        <w:t xml:space="preserve"> Sessões e continuidade usam o período completo; disponibilidade usa os próximos 14 dias; avaliações pendentes são contadas sem filtro de período.</w:t>
      </w:r>
    </w:p>
    <w:p>
      <w:pPr>
        <w:pStyle w:val="ListNumber"/>
        <w:spacing w:before="0" w:after="80" w:line="288" w:lineRule="auto"/>
        <w:ind w:left="720" w:hanging="360"/>
      </w:pPr>
      <w:r>
        <w:rPr>
          <w:rFonts w:ascii="Calibri" w:hAnsi="Calibri"/>
          <w:b/>
          <w:color w:val="22233A"/>
          <w:sz w:val="21"/>
        </w:rPr>
        <w:t>A UI ainda pode sugerir mais inteligência do que existe.</w:t>
      </w:r>
      <w:r>
        <w:rPr>
          <w:rFonts w:ascii="Calibri" w:hAnsi="Calibri"/>
          <w:color w:val="22233A"/>
          <w:sz w:val="21"/>
        </w:rPr>
        <w:t xml:space="preserve"> “Aura IA”, “assistente inteligente”, “insights gerados automaticamente” e barras visuais estáticas podem induzir a expectativa de IA generativa ou de gráficos reais.</w:t>
      </w:r>
    </w:p>
    <w:p>
      <w:pPr>
        <w:pStyle w:val="ListNumber"/>
        <w:spacing w:before="0" w:after="80" w:line="288" w:lineRule="auto"/>
        <w:ind w:left="720" w:hanging="360"/>
      </w:pPr>
      <w:r>
        <w:rPr>
          <w:rFonts w:ascii="Calibri" w:hAnsi="Calibri"/>
          <w:b/>
          <w:color w:val="22233A"/>
          <w:sz w:val="21"/>
        </w:rPr>
        <w:t>A base local não prova produção.</w:t>
      </w:r>
      <w:r>
        <w:rPr>
          <w:rFonts w:ascii="Calibri" w:hAnsi="Calibri"/>
          <w:color w:val="22233A"/>
          <w:sz w:val="21"/>
        </w:rPr>
        <w:t xml:space="preserve"> O snapshot local possui registros de teste e recomendações sem validade atual. Não há evidência nesta análise de HML ou produção.</w:t>
      </w:r>
    </w:p>
    <w:p>
      <w:pPr>
        <w:spacing w:after="20"/>
      </w:pPr>
    </w:p>
    <w:p>
      <w:pPr>
        <w:pStyle w:val="Heading1"/>
        <w:keepNext/>
        <w:pageBreakBefore w:val="0"/>
      </w:pPr>
      <w:r>
        <w:rPr>
          <w:rFonts w:ascii="Calibri" w:hAnsi="Calibri"/>
          <w:b/>
          <w:color w:val="14105A"/>
          <w:sz w:val="34"/>
        </w:rPr>
        <w:t>2. Como a auditoria foi feita</w:t>
      </w:r>
    </w:p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color w:val="22233A"/>
          <w:sz w:val="21"/>
        </w:rPr>
        <w:t>Foram comparados quatro níveis de evidência:</w:t>
      </w:r>
    </w:p>
    <w:p>
      <w:pPr>
        <w:spacing w:after="20"/>
      </w:pP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b/>
          <w:color w:val="22233A"/>
          <w:sz w:val="21"/>
        </w:rPr>
        <w:t>Contrato implementado:</w:t>
      </w:r>
      <w:r>
        <w:rPr>
          <w:rFonts w:ascii="Calibri" w:hAnsi="Calibri"/>
          <w:color w:val="22233A"/>
          <w:sz w:val="21"/>
        </w:rPr>
        <w:t xml:space="preserve"> código TypeScript/React, permissões, rota, mapper e regras.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b/>
          <w:color w:val="22233A"/>
          <w:sz w:val="21"/>
        </w:rPr>
        <w:t>Contrato de banco:</w:t>
      </w:r>
      <w:r>
        <w:rPr>
          <w:rFonts w:ascii="Calibri" w:hAnsi="Calibri"/>
          <w:color w:val="22233A"/>
          <w:sz w:val="21"/>
        </w:rPr>
        <w:t xml:space="preserve"> migration do RPC Aura, funções de taxa, tabela de recomendações e tabela de dismissals.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b/>
          <w:color w:val="22233A"/>
          <w:sz w:val="21"/>
        </w:rPr>
        <w:t>Execução local:</w:t>
      </w:r>
      <w:r>
        <w:rPr>
          <w:rFonts w:ascii="Calibri" w:hAnsi="Calibri"/>
          <w:color w:val="22233A"/>
          <w:sz w:val="21"/>
        </w:rPr>
        <w:t xml:space="preserve"> testes unitários, typecheck, lint e consulta read-only ao Supabase local em Docker.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b/>
          <w:color w:val="22233A"/>
          <w:sz w:val="21"/>
        </w:rPr>
        <w:t>Superfície visível:</w:t>
      </w:r>
      <w:r>
        <w:rPr>
          <w:rFonts w:ascii="Calibri" w:hAnsi="Calibri"/>
          <w:color w:val="22233A"/>
          <w:sz w:val="21"/>
        </w:rPr>
        <w:t xml:space="preserve"> código da tela e teste de composição. A navegação autenticada pelo navegador local redirecionou para </w:t>
      </w:r>
      <w:r>
        <w:rPr>
          <w:rFonts w:ascii="Consolas" w:hAnsi="Consolas"/>
          <w:color w:val="6856C7"/>
          <w:sz w:val="18"/>
        </w:rPr>
        <w:t>/terapeuta/login</w:t>
      </w:r>
      <w:r>
        <w:rPr>
          <w:rFonts w:ascii="Calibri" w:hAnsi="Calibri"/>
          <w:color w:val="22233A"/>
          <w:sz w:val="21"/>
        </w:rPr>
        <w:t>; não foram inseridas credenciais nem foi feita homologação autenticada por navegador.</w:t>
      </w:r>
    </w:p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color w:val="22233A"/>
          <w:sz w:val="21"/>
        </w:rPr>
        <w:t>Não foram lidos nem reproduzidos segredos, senhas, tokens ou valores de ambiente no documento.</w:t>
      </w:r>
    </w:p>
    <w:p>
      <w:pPr>
        <w:spacing w:after="20"/>
      </w:pPr>
    </w:p>
    <w:p>
      <w:pPr>
        <w:pStyle w:val="Heading1"/>
        <w:keepNext/>
        <w:pageBreakBefore w:val="0"/>
      </w:pPr>
      <w:r>
        <w:rPr>
          <w:rFonts w:ascii="Calibri" w:hAnsi="Calibri"/>
          <w:b/>
          <w:color w:val="14105A"/>
          <w:sz w:val="34"/>
        </w:rPr>
        <w:t>3. O que aparece para o terapeuta hoje</w:t>
      </w:r>
    </w:p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color w:val="14105A"/>
          <w:sz w:val="27"/>
        </w:rPr>
        <w:t>3.1 Acesso e identificação</w:t>
      </w:r>
    </w:p>
    <w:p>
      <w:pPr>
        <w:spacing w:after="20"/>
      </w:pP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 xml:space="preserve">A navegação autenticada exibe </w:t>
      </w:r>
      <w:r>
        <w:rPr>
          <w:rFonts w:ascii="Calibri" w:hAnsi="Calibri"/>
          <w:b/>
          <w:color w:val="22233A"/>
          <w:sz w:val="21"/>
        </w:rPr>
        <w:t>Assessora Aura</w:t>
      </w:r>
      <w:r>
        <w:rPr>
          <w:rFonts w:ascii="Calibri" w:hAnsi="Calibri"/>
          <w:color w:val="22233A"/>
          <w:sz w:val="21"/>
        </w:rPr>
        <w:t>.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 xml:space="preserve">A rota canônica é </w:t>
      </w:r>
      <w:r>
        <w:rPr>
          <w:rFonts w:ascii="Consolas" w:hAnsi="Consolas"/>
          <w:color w:val="6856C7"/>
          <w:sz w:val="18"/>
        </w:rPr>
        <w:t>/terapeuta/assessor-ia</w:t>
      </w:r>
      <w:r>
        <w:rPr>
          <w:rFonts w:ascii="Calibri" w:hAnsi="Calibri"/>
          <w:color w:val="22233A"/>
          <w:sz w:val="21"/>
        </w:rPr>
        <w:t>.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 xml:space="preserve">O acesso é protegido pela capability </w:t>
      </w:r>
      <w:r>
        <w:rPr>
          <w:rFonts w:ascii="Consolas" w:hAnsi="Consolas"/>
          <w:color w:val="6856C7"/>
          <w:sz w:val="18"/>
        </w:rPr>
        <w:t>aura_full</w:t>
      </w:r>
      <w:r>
        <w:rPr>
          <w:rFonts w:ascii="Calibri" w:hAnsi="Calibri"/>
          <w:color w:val="22233A"/>
          <w:sz w:val="21"/>
        </w:rPr>
        <w:t xml:space="preserve">, liberada para </w:t>
      </w:r>
      <w:r>
        <w:rPr>
          <w:rFonts w:ascii="Calibri" w:hAnsi="Calibri"/>
          <w:b/>
          <w:color w:val="22233A"/>
          <w:sz w:val="21"/>
        </w:rPr>
        <w:t>Premium Plus</w:t>
      </w:r>
      <w:r>
        <w:rPr>
          <w:rFonts w:ascii="Calibri" w:hAnsi="Calibri"/>
          <w:color w:val="22233A"/>
          <w:sz w:val="21"/>
        </w:rPr>
        <w:t>.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Free e Premium não recebem o feed completo da Aura. A tentativa de acesso é tratada como indisponível para a conta sem capability.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 xml:space="preserve">O título principal da tela foi corrigido de </w:t>
      </w:r>
      <w:r>
        <w:rPr>
          <w:rFonts w:ascii="Calibri" w:hAnsi="Calibri"/>
          <w:b/>
          <w:color w:val="22233A"/>
          <w:sz w:val="21"/>
        </w:rPr>
        <w:t>Aura IA</w:t>
      </w:r>
      <w:r>
        <w:rPr>
          <w:rFonts w:ascii="Calibri" w:hAnsi="Calibri"/>
          <w:color w:val="22233A"/>
          <w:sz w:val="21"/>
        </w:rPr>
        <w:t xml:space="preserve"> para </w:t>
      </w:r>
      <w:r>
        <w:rPr>
          <w:rFonts w:ascii="Calibri" w:hAnsi="Calibri"/>
          <w:b/>
          <w:color w:val="22233A"/>
          <w:sz w:val="21"/>
        </w:rPr>
        <w:t>Assessora Aura</w:t>
      </w:r>
      <w:r>
        <w:rPr>
          <w:rFonts w:ascii="Calibri" w:hAnsi="Calibri"/>
          <w:color w:val="22233A"/>
          <w:sz w:val="21"/>
        </w:rPr>
        <w:t>.</w:t>
      </w:r>
    </w:p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color w:val="14105A"/>
          <w:sz w:val="27"/>
        </w:rPr>
        <w:t>3.2 Hero inicial</w:t>
      </w:r>
    </w:p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color w:val="22233A"/>
          <w:sz w:val="21"/>
        </w:rPr>
        <w:t>O terapeuta vê:</w:t>
      </w:r>
    </w:p>
    <w:p>
      <w:pPr>
        <w:spacing w:after="20"/>
      </w:pP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 xml:space="preserve">título: </w:t>
      </w:r>
      <w:r>
        <w:rPr>
          <w:rFonts w:ascii="Calibri" w:hAnsi="Calibri"/>
          <w:b/>
          <w:color w:val="22233A"/>
          <w:sz w:val="21"/>
        </w:rPr>
        <w:t>Assessora Aura</w:t>
      </w:r>
      <w:r>
        <w:rPr>
          <w:rFonts w:ascii="Calibri" w:hAnsi="Calibri"/>
          <w:color w:val="22233A"/>
          <w:sz w:val="21"/>
        </w:rPr>
        <w:t>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 xml:space="preserve">selo: </w:t>
      </w:r>
      <w:r>
        <w:rPr>
          <w:rFonts w:ascii="Calibri" w:hAnsi="Calibri"/>
          <w:b/>
          <w:color w:val="22233A"/>
          <w:sz w:val="21"/>
        </w:rPr>
        <w:t>sua assistente inteligente</w:t>
      </w:r>
      <w:r>
        <w:rPr>
          <w:rFonts w:ascii="Calibri" w:hAnsi="Calibri"/>
          <w:color w:val="22233A"/>
          <w:sz w:val="21"/>
        </w:rPr>
        <w:t>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explicação: a Aura analisa automaticamente os dados da TES e organiza sinais práticos;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 xml:space="preserve">selo secundário: </w:t>
      </w:r>
      <w:r>
        <w:rPr>
          <w:rFonts w:ascii="Calibri" w:hAnsi="Calibri"/>
          <w:b/>
          <w:color w:val="22233A"/>
          <w:sz w:val="21"/>
        </w:rPr>
        <w:t>Insights gerados automaticamente</w:t>
      </w:r>
      <w:r>
        <w:rPr>
          <w:rFonts w:ascii="Calibri" w:hAnsi="Calibri"/>
          <w:color w:val="22233A"/>
          <w:sz w:val="21"/>
        </w:rPr>
        <w:t>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personagem visual local da Aura.</w:t>
      </w:r>
    </w:p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color w:val="22233A"/>
          <w:sz w:val="21"/>
        </w:rPr>
        <w:t>O conteúdo comunica orientação automatizada, mas não explica, na própria tela, que as recomendações são geradas por regras determinísticas e não por IA generativa.</w:t>
      </w:r>
    </w:p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color w:val="14105A"/>
          <w:sz w:val="27"/>
        </w:rPr>
        <w:t>3.3 Período analisado</w:t>
      </w:r>
    </w:p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color w:val="22233A"/>
          <w:sz w:val="21"/>
        </w:rPr>
        <w:t>O controle permite alternar entre:</w:t>
      </w:r>
    </w:p>
    <w:p>
      <w:pPr>
        <w:spacing w:after="20"/>
      </w:pP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b/>
          <w:color w:val="22233A"/>
          <w:sz w:val="21"/>
        </w:rPr>
        <w:t>30 dias</w:t>
      </w:r>
      <w:r>
        <w:rPr>
          <w:rFonts w:ascii="Calibri" w:hAnsi="Calibri"/>
          <w:color w:val="22233A"/>
          <w:sz w:val="21"/>
        </w:rPr>
        <w:t>: últimos 30 dias completos;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b/>
          <w:color w:val="22233A"/>
          <w:sz w:val="21"/>
        </w:rPr>
        <w:t>90 dias</w:t>
      </w:r>
      <w:r>
        <w:rPr>
          <w:rFonts w:ascii="Calibri" w:hAnsi="Calibri"/>
          <w:color w:val="22233A"/>
          <w:sz w:val="21"/>
        </w:rPr>
        <w:t>: últimos 90 dias completos.</w:t>
      </w:r>
    </w:p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color w:val="22233A"/>
          <w:sz w:val="21"/>
        </w:rPr>
        <w:t xml:space="preserve">A regra de período é baseada no fuso horário configurado pelo terapeuta, com fallback local para </w:t>
      </w:r>
      <w:r>
        <w:rPr>
          <w:rFonts w:ascii="Consolas" w:hAnsi="Consolas"/>
          <w:color w:val="6856C7"/>
          <w:sz w:val="18"/>
        </w:rPr>
        <w:t>America/Sao_Paulo</w:t>
      </w:r>
      <w:r>
        <w:rPr>
          <w:rFonts w:ascii="Calibri" w:hAnsi="Calibri"/>
          <w:color w:val="22233A"/>
          <w:sz w:val="21"/>
        </w:rPr>
        <w:t>. O dia corrente é excluído das métricas históricas: o intervalo termina à meia-noite local do dia atual.</w:t>
      </w:r>
    </w:p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color w:val="14105A"/>
          <w:sz w:val="27"/>
        </w:rPr>
        <w:t>3.4 Quatro KPIs apresentados</w:t>
      </w:r>
    </w:p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00"/>
        <w:gridCol w:w="41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E8EEF5" w:val="clear"/>
          </w:tcPr>
          <w:p>
            <w:pPr>
              <w:spacing w:before="0" w:after="0" w:line="259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4105A"/>
                <w:sz w:val="18"/>
              </w:rPr>
              <w:t>KPI visível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E8EEF5" w:val="clear"/>
          </w:tcPr>
          <w:p>
            <w:pPr>
              <w:spacing w:before="0" w:after="0" w:line="259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4105A"/>
                <w:sz w:val="18"/>
              </w:rPr>
              <w:t>Como é calculado hoje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E8EEF5" w:val="clear"/>
          </w:tcPr>
          <w:p>
            <w:pPr>
              <w:spacing w:before="0" w:after="0" w:line="259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4105A"/>
                <w:sz w:val="18"/>
              </w:rPr>
              <w:t>Observação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8"/>
              </w:rPr>
              <w:t>Insights do período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8"/>
              </w:rPr>
              <w:t>Quantidade total de recomendações após juntar regras determinísticas e recomendações persistidas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8"/>
              </w:rPr>
              <w:t>Não é um KPI de desempenho; é uma contagem de cartões.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8"/>
              </w:rPr>
              <w:t>Oportunidades identificadas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8"/>
              </w:rPr>
              <w:t xml:space="preserve">Quantidade de recomendações cujo tom é </w:t>
            </w:r>
            <w:r>
              <w:rPr>
                <w:rFonts w:ascii="Consolas" w:hAnsi="Consolas"/>
                <w:color w:val="6856C7"/>
                <w:sz w:val="18"/>
              </w:rPr>
              <w:t>opportunity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8"/>
              </w:rPr>
              <w:t>Recomendações persistidas recebem esse tom por padrão, mesmo que tenham outra natureza.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8"/>
              </w:rPr>
              <w:t>Ações sugeridas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8"/>
              </w:rPr>
              <w:t>Quantidade de recomendações com rota de ação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8"/>
              </w:rPr>
              <w:t>Na prática, todas as recomendações mapeadas possuem rota, então tende a repetir o primeiro KPI.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8"/>
              </w:rPr>
              <w:t>Taxa de retorno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8"/>
              </w:rPr>
              <w:t>Percentual de pessoas atuais que já tinham uma sessão concluída anterior, quando a amostra atual chega a 10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8"/>
              </w:rPr>
              <w:t>Abaixo de 10, aparece “Em formação”; o percentual fica oculto.</w:t>
            </w:r>
          </w:p>
        </w:tc>
      </w:tr>
    </w:tbl>
    <w:p>
      <w:pPr>
        <w:spacing w:after="40"/>
      </w:pPr>
    </w:p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color w:val="22233A"/>
          <w:sz w:val="21"/>
        </w:rPr>
        <w:t>Cada KPI também recebe barras decorativas de referência. Essas barras são fixas e não representam uma série histórica real nem têm escala numérica.</w:t>
      </w:r>
    </w:p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color w:val="14105A"/>
          <w:sz w:val="27"/>
        </w:rPr>
        <w:t>3.5 Três leituras contextuais</w:t>
      </w:r>
    </w:p>
    <w:p>
      <w:pPr>
        <w:spacing w:after="20"/>
      </w:pP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b/>
          <w:color w:val="22233A"/>
          <w:sz w:val="21"/>
        </w:rPr>
        <w:t>Financeiro:</w:t>
      </w:r>
      <w:r>
        <w:rPr>
          <w:rFonts w:ascii="Calibri" w:hAnsi="Calibri"/>
          <w:color w:val="22233A"/>
          <w:sz w:val="21"/>
        </w:rPr>
        <w:t xml:space="preserve"> encaminha ao Financeiro e mostra “Disponível no Financeiro”. Não é um sinal financeiro calculado pela Aura.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b/>
          <w:color w:val="22233A"/>
          <w:sz w:val="21"/>
        </w:rPr>
        <w:t>Crescimento:</w:t>
      </w:r>
      <w:r>
        <w:rPr>
          <w:rFonts w:ascii="Calibri" w:hAnsi="Calibri"/>
          <w:color w:val="22233A"/>
          <w:sz w:val="21"/>
        </w:rPr>
        <w:t xml:space="preserve"> muda principalmente conforme existem avaliações publicadas sem resposta. Não apresenta crescimento de perfil, visitas ou conversão.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b/>
          <w:color w:val="22233A"/>
          <w:sz w:val="21"/>
        </w:rPr>
        <w:t>Relacionamento:</w:t>
      </w:r>
      <w:r>
        <w:rPr>
          <w:rFonts w:ascii="Calibri" w:hAnsi="Calibri"/>
          <w:color w:val="22233A"/>
          <w:sz w:val="21"/>
        </w:rPr>
        <w:t xml:space="preserve"> usa a taxa de retorno e mostra “Em formação” quando a amostra não é suficiente.</w:t>
      </w:r>
    </w:p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color w:val="14105A"/>
          <w:sz w:val="27"/>
        </w:rPr>
        <w:t>3.6 Recomendações</w:t>
      </w:r>
    </w:p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color w:val="22233A"/>
          <w:sz w:val="21"/>
        </w:rPr>
        <w:t>Cada cartão de recomendação pode mostrar:</w:t>
      </w:r>
    </w:p>
    <w:p>
      <w:pPr>
        <w:spacing w:after="20"/>
      </w:pP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ícone conforme a área de ação;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título;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texto de orientação;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evidência resumida;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botão de ação;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botão para dispensar.</w:t>
      </w:r>
    </w:p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color w:val="22233A"/>
          <w:sz w:val="21"/>
        </w:rPr>
        <w:t>As ações atuais apontam para Agenda, Avaliações, Sessões, Resultados ou outra rota canônica compatível. Dispensar não executa a ação recomendada; apenas registra a dispensa para a chave daquela recomendação e daquele período.</w:t>
      </w:r>
    </w:p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color w:val="14105A"/>
          <w:sz w:val="27"/>
        </w:rPr>
        <w:t>3.7 Estado sem recomendação</w:t>
      </w:r>
    </w:p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color w:val="22233A"/>
          <w:sz w:val="21"/>
        </w:rPr>
        <w:t>Quando nenhuma regra é elegível, a tela mostra:</w:t>
      </w:r>
    </w:p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1EEFF" w:val="clear"/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color w:val="22233A"/>
                <w:sz w:val="21"/>
              </w:rPr>
              <w:t>Nenhum sinal prioritário agora</w:t>
            </w:r>
          </w:p>
        </w:tc>
      </w:tr>
    </w:tbl>
    <w:p>
      <w:pPr>
        <w:spacing w:after="40"/>
      </w:pPr>
    </w:p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color w:val="22233A"/>
          <w:sz w:val="21"/>
        </w:rPr>
        <w:t>e explica que novas leituras aparecerão quando houver sinais elegíveis. Esse é um estado honesto e não deve ser substituído por dados demonstrativos.</w:t>
      </w:r>
    </w:p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color w:val="14105A"/>
          <w:sz w:val="27"/>
        </w:rPr>
        <w:t>3.8 Bloco final de resultados</w:t>
      </w:r>
    </w:p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color w:val="22233A"/>
          <w:sz w:val="21"/>
        </w:rPr>
        <w:t>O rodapé da página repete:</w:t>
      </w:r>
    </w:p>
    <w:p>
      <w:pPr>
        <w:spacing w:after="20"/>
      </w:pP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Insights selecionados;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período analisado;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avaliações sem resposta;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retorno acompanhado.</w:t>
      </w:r>
    </w:p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color w:val="22233A"/>
          <w:sz w:val="21"/>
        </w:rPr>
        <w:t>Esse bloco é útil como resumo, mas hoje repete informação dos KPIs e não exibe data/hora de atualização, fonte, fórmula, amostra observada ou frescor de cada indicador.</w:t>
      </w:r>
    </w:p>
    <w:p>
      <w:pPr>
        <w:spacing w:after="20"/>
      </w:pPr>
    </w:p>
    <w:p>
      <w:pPr>
        <w:pStyle w:val="Heading1"/>
        <w:keepNext/>
        <w:pageBreakBefore w:val="0"/>
      </w:pPr>
      <w:r>
        <w:rPr>
          <w:rFonts w:ascii="Calibri" w:hAnsi="Calibri"/>
          <w:b/>
          <w:color w:val="14105A"/>
          <w:sz w:val="34"/>
        </w:rPr>
        <w:t>4. Como os dados realmente percorrem o sistema</w:t>
      </w:r>
    </w:p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7FA" w:val="clear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4105A"/>
                <w:sz w:val="17"/>
              </w:rPr>
              <w:t>Sessão autenticada do terapeuta</w:t>
              <w:br/>
            </w:r>
            <w:r>
              <w:rPr>
                <w:rFonts w:ascii="Consolas" w:hAnsi="Consolas"/>
                <w:color w:val="14105A"/>
                <w:sz w:val="17"/>
              </w:rPr>
              <w:t xml:space="preserve">        |</w:t>
              <w:br/>
            </w:r>
            <w:r>
              <w:rPr>
                <w:rFonts w:ascii="Consolas" w:hAnsi="Consolas"/>
                <w:color w:val="14105A"/>
                <w:sz w:val="17"/>
              </w:rPr>
              <w:t xml:space="preserve">        v</w:t>
              <w:br/>
            </w:r>
            <w:r>
              <w:rPr>
                <w:rFonts w:ascii="Consolas" w:hAnsi="Consolas"/>
                <w:color w:val="14105A"/>
                <w:sz w:val="17"/>
              </w:rPr>
              <w:t>Rota /terapeuta/assessor-ia</w:t>
              <w:br/>
            </w:r>
            <w:r>
              <w:rPr>
                <w:rFonts w:ascii="Consolas" w:hAnsi="Consolas"/>
                <w:color w:val="14105A"/>
                <w:sz w:val="17"/>
              </w:rPr>
              <w:t xml:space="preserve">        |</w:t>
              <w:br/>
            </w:r>
            <w:r>
              <w:rPr>
                <w:rFonts w:ascii="Consolas" w:hAnsi="Consolas"/>
                <w:color w:val="14105A"/>
                <w:sz w:val="17"/>
              </w:rPr>
              <w:t xml:space="preserve">        v</w:t>
              <w:br/>
            </w:r>
            <w:r>
              <w:rPr>
                <w:rFonts w:ascii="Consolas" w:hAnsi="Consolas"/>
                <w:color w:val="14105A"/>
                <w:sz w:val="17"/>
              </w:rPr>
              <w:t>getTherapistAuraPage (server-only)</w:t>
              <w:br/>
            </w:r>
            <w:r>
              <w:rPr>
                <w:rFonts w:ascii="Consolas" w:hAnsi="Consolas"/>
                <w:color w:val="14105A"/>
                <w:sz w:val="17"/>
              </w:rPr>
              <w:t xml:space="preserve">        |</w:t>
              <w:br/>
            </w:r>
            <w:r>
              <w:rPr>
                <w:rFonts w:ascii="Consolas" w:hAnsi="Consolas"/>
                <w:color w:val="14105A"/>
                <w:sz w:val="17"/>
              </w:rPr>
              <w:t xml:space="preserve">        v</w:t>
              <w:br/>
            </w:r>
            <w:r>
              <w:rPr>
                <w:rFonts w:ascii="Consolas" w:hAnsi="Consolas"/>
                <w:color w:val="14105A"/>
                <w:sz w:val="17"/>
              </w:rPr>
              <w:t>RPC privado get_therapist_aura_signals_v1(periodDays)</w:t>
              <w:br/>
            </w:r>
            <w:r>
              <w:rPr>
                <w:rFonts w:ascii="Consolas" w:hAnsi="Consolas"/>
                <w:color w:val="14105A"/>
                <w:sz w:val="17"/>
              </w:rPr>
              <w:t xml:space="preserve">        |</w:t>
              <w:br/>
            </w:r>
            <w:r>
              <w:rPr>
                <w:rFonts w:ascii="Consolas" w:hAnsi="Consolas"/>
                <w:color w:val="14105A"/>
                <w:sz w:val="17"/>
              </w:rPr>
              <w:t xml:space="preserve">        +--&gt; sinais agregados de bookings, reviews, serviços e slot engine</w:t>
              <w:br/>
            </w:r>
            <w:r>
              <w:rPr>
                <w:rFonts w:ascii="Consolas" w:hAnsi="Consolas"/>
                <w:color w:val="14105A"/>
                <w:sz w:val="17"/>
              </w:rPr>
              <w:t xml:space="preserve">        +--&gt; recomendações persistidas ativas, não expiradas e sem paciente/booking</w:t>
              <w:br/>
            </w:r>
            <w:r>
              <w:rPr>
                <w:rFonts w:ascii="Consolas" w:hAnsi="Consolas"/>
                <w:color w:val="14105A"/>
                <w:sz w:val="17"/>
              </w:rPr>
              <w:t xml:space="preserve">        +--&gt; dismissals do terapeuta para o período atual</w:t>
              <w:br/>
            </w:r>
            <w:r>
              <w:rPr>
                <w:rFonts w:ascii="Consolas" w:hAnsi="Consolas"/>
                <w:color w:val="14105A"/>
                <w:sz w:val="17"/>
              </w:rPr>
              <w:t xml:space="preserve">        |</w:t>
              <w:br/>
            </w:r>
            <w:r>
              <w:rPr>
                <w:rFonts w:ascii="Consolas" w:hAnsi="Consolas"/>
                <w:color w:val="14105A"/>
                <w:sz w:val="17"/>
              </w:rPr>
              <w:t xml:space="preserve">        v</w:t>
              <w:br/>
            </w:r>
            <w:r>
              <w:rPr>
                <w:rFonts w:ascii="Consolas" w:hAnsi="Consolas"/>
                <w:color w:val="14105A"/>
                <w:sz w:val="17"/>
              </w:rPr>
              <w:t>mapper valida contrato e bloqueia vazamento de percentuais protegidos</w:t>
              <w:br/>
            </w:r>
            <w:r>
              <w:rPr>
                <w:rFonts w:ascii="Consolas" w:hAnsi="Consolas"/>
                <w:color w:val="14105A"/>
                <w:sz w:val="17"/>
              </w:rPr>
              <w:t xml:space="preserve">        |</w:t>
              <w:br/>
            </w:r>
            <w:r>
              <w:rPr>
                <w:rFonts w:ascii="Consolas" w:hAnsi="Consolas"/>
                <w:color w:val="14105A"/>
                <w:sz w:val="17"/>
              </w:rPr>
              <w:t xml:space="preserve">        v</w:t>
              <w:br/>
            </w:r>
            <w:r>
              <w:rPr>
                <w:rFonts w:ascii="Consolas" w:hAnsi="Consolas"/>
                <w:color w:val="14105A"/>
                <w:sz w:val="17"/>
              </w:rPr>
              <w:t>motor TypeScript server-only aplica cinco regras versionadas</w:t>
              <w:br/>
            </w:r>
            <w:r>
              <w:rPr>
                <w:rFonts w:ascii="Consolas" w:hAnsi="Consolas"/>
                <w:color w:val="14105A"/>
                <w:sz w:val="17"/>
              </w:rPr>
              <w:t xml:space="preserve">        |</w:t>
              <w:br/>
            </w:r>
            <w:r>
              <w:rPr>
                <w:rFonts w:ascii="Consolas" w:hAnsi="Consolas"/>
                <w:color w:val="14105A"/>
                <w:sz w:val="17"/>
              </w:rPr>
              <w:t xml:space="preserve">        v</w:t>
              <w:br/>
            </w:r>
            <w:r>
              <w:rPr>
                <w:rFonts w:ascii="Consolas" w:hAnsi="Consolas"/>
                <w:color w:val="14105A"/>
                <w:sz w:val="17"/>
              </w:rPr>
              <w:t>ordenação por prioridade</w:t>
              <w:br/>
            </w:r>
            <w:r>
              <w:rPr>
                <w:rFonts w:ascii="Consolas" w:hAnsi="Consolas"/>
                <w:color w:val="14105A"/>
                <w:sz w:val="17"/>
              </w:rPr>
              <w:t xml:space="preserve">        |</w:t>
              <w:br/>
            </w:r>
            <w:r>
              <w:rPr>
                <w:rFonts w:ascii="Consolas" w:hAnsi="Consolas"/>
                <w:color w:val="14105A"/>
                <w:sz w:val="17"/>
              </w:rPr>
              <w:t xml:space="preserve">        v</w:t>
              <w:br/>
            </w:r>
            <w:r>
              <w:rPr>
                <w:rFonts w:ascii="Consolas" w:hAnsi="Consolas"/>
                <w:color w:val="14105A"/>
                <w:sz w:val="17"/>
              </w:rPr>
              <w:t>cards e estados da página</w:t>
            </w:r>
          </w:p>
        </w:tc>
      </w:tr>
    </w:tbl>
    <w:p>
      <w:pPr>
        <w:spacing w:after="40"/>
      </w:pPr>
    </w:p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color w:val="22233A"/>
          <w:sz w:val="21"/>
        </w:rPr>
        <w:t xml:space="preserve">O cliente não consulta diretamente as tabelas do Supabase para montar a página. O token de acesso é usado no servidor para chamar o RPC. O serviço ainda confere se o </w:t>
      </w:r>
      <w:r>
        <w:rPr>
          <w:rFonts w:ascii="Consolas" w:hAnsi="Consolas"/>
          <w:color w:val="6856C7"/>
          <w:sz w:val="18"/>
        </w:rPr>
        <w:t>profileId</w:t>
      </w:r>
      <w:r>
        <w:rPr>
          <w:rFonts w:ascii="Calibri" w:hAnsi="Calibri"/>
          <w:color w:val="22233A"/>
          <w:sz w:val="21"/>
        </w:rPr>
        <w:t xml:space="preserve"> retornado pelo banco corresponde ao perfil autenticado.</w:t>
      </w:r>
    </w:p>
    <w:p>
      <w:pPr>
        <w:spacing w:after="20"/>
      </w:pPr>
    </w:p>
    <w:p>
      <w:pPr>
        <w:pStyle w:val="Heading1"/>
        <w:keepNext/>
        <w:pageBreakBefore w:val="0"/>
      </w:pPr>
      <w:r>
        <w:rPr>
          <w:rFonts w:ascii="Calibri" w:hAnsi="Calibri"/>
          <w:b/>
          <w:color w:val="14105A"/>
          <w:sz w:val="34"/>
        </w:rPr>
        <w:t>5. Dicionário dos dados usados pela Aura</w:t>
      </w:r>
    </w:p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900"/>
        <w:gridCol w:w="2600"/>
        <w:gridCol w:w="1900"/>
        <w:gridCol w:w="1560"/>
      </w:tblGrid>
      <w:tr>
        <w:trPr>
          <w:tblHeader w:val="true"/>
        </w:trP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E8EEF5" w:val="clear"/>
          </w:tcPr>
          <w:p>
            <w:pPr>
              <w:spacing w:before="0" w:after="0" w:line="259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4105A"/>
                <w:sz w:val="17"/>
              </w:rPr>
              <w:t>Sinal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E8EEF5" w:val="clear"/>
          </w:tcPr>
          <w:p>
            <w:pPr>
              <w:spacing w:before="0" w:after="0" w:line="259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4105A"/>
                <w:sz w:val="17"/>
              </w:rPr>
              <w:t>Fonte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E8EEF5" w:val="clear"/>
          </w:tcPr>
          <w:p>
            <w:pPr>
              <w:spacing w:before="0" w:after="0" w:line="259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4105A"/>
                <w:sz w:val="17"/>
              </w:rPr>
              <w:t>Regra efetiva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E8EEF5" w:val="clear"/>
          </w:tcPr>
          <w:p>
            <w:pPr>
              <w:spacing w:before="0" w:after="0" w:line="259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4105A"/>
                <w:sz w:val="17"/>
              </w:rPr>
              <w:t>Janela real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E8EEF5" w:val="clear"/>
          </w:tcPr>
          <w:p>
            <w:pPr>
              <w:spacing w:before="0" w:after="0" w:line="259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4105A"/>
                <w:sz w:val="17"/>
              </w:rPr>
              <w:t>Proteção/estado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Prontidão de agendamento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6856C7"/>
                <w:sz w:val="18"/>
              </w:rPr>
              <w:t>therapist_services</w:t>
            </w:r>
            <w:r>
              <w:rPr>
                <w:rFonts w:ascii="Calibri" w:hAnsi="Calibri"/>
                <w:color w:val="22233A"/>
                <w:sz w:val="17"/>
              </w:rPr>
              <w:t xml:space="preserve">, </w:t>
            </w:r>
            <w:r>
              <w:rPr>
                <w:rFonts w:ascii="Consolas" w:hAnsi="Consolas"/>
                <w:color w:val="6856C7"/>
                <w:sz w:val="18"/>
              </w:rPr>
              <w:t>therapies</w:t>
            </w:r>
            <w:r>
              <w:rPr>
                <w:rFonts w:ascii="Calibri" w:hAnsi="Calibri"/>
                <w:color w:val="22233A"/>
                <w:sz w:val="17"/>
              </w:rPr>
              <w:t>, perfil público e slot engine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Conta terapias ativas, publicáveis, online e com horários futuros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Próximos 14 dias a partir de agora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6856C7"/>
                <w:sz w:val="18"/>
              </w:rPr>
              <w:t>empty</w:t>
            </w:r>
            <w:r>
              <w:rPr>
                <w:rFonts w:ascii="Calibri" w:hAnsi="Calibri"/>
                <w:color w:val="22233A"/>
                <w:sz w:val="17"/>
              </w:rPr>
              <w:t xml:space="preserve"> se não há serviço publicável; </w:t>
            </w:r>
            <w:r>
              <w:rPr>
                <w:rFonts w:ascii="Consolas" w:hAnsi="Consolas"/>
                <w:color w:val="6856C7"/>
                <w:sz w:val="18"/>
              </w:rPr>
              <w:t>ready</w:t>
            </w:r>
            <w:r>
              <w:rPr>
                <w:rFonts w:ascii="Calibri" w:hAnsi="Calibri"/>
                <w:color w:val="22233A"/>
                <w:sz w:val="17"/>
              </w:rPr>
              <w:t xml:space="preserve"> caso contrário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Avaliações sem resposta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6856C7"/>
                <w:sz w:val="18"/>
              </w:rPr>
              <w:t>reviews</w:t>
            </w:r>
            <w:r>
              <w:rPr>
                <w:rFonts w:ascii="Calibri" w:hAnsi="Calibri"/>
                <w:color w:val="22233A"/>
                <w:sz w:val="17"/>
              </w:rPr>
              <w:t xml:space="preserve"> + </w:t>
            </w:r>
            <w:r>
              <w:rPr>
                <w:rFonts w:ascii="Consolas" w:hAnsi="Consolas"/>
                <w:color w:val="6856C7"/>
                <w:sz w:val="18"/>
              </w:rPr>
              <w:t>review_replies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Avaliação publicada, com data publicada, sem resposta publicada do terapeuta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Histórico total; não é limitado a 30/90 dias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6856C7"/>
                <w:sz w:val="18"/>
              </w:rPr>
              <w:t>empty</w:t>
            </w:r>
            <w:r>
              <w:rPr>
                <w:rFonts w:ascii="Calibri" w:hAnsi="Calibri"/>
                <w:color w:val="22233A"/>
                <w:sz w:val="17"/>
              </w:rPr>
              <w:t xml:space="preserve"> quando zero; </w:t>
            </w:r>
            <w:r>
              <w:rPr>
                <w:rFonts w:ascii="Consolas" w:hAnsi="Consolas"/>
                <w:color w:val="6856C7"/>
                <w:sz w:val="18"/>
              </w:rPr>
              <w:t>ready</w:t>
            </w:r>
            <w:r>
              <w:rPr>
                <w:rFonts w:ascii="Calibri" w:hAnsi="Calibri"/>
                <w:color w:val="22233A"/>
                <w:sz w:val="17"/>
              </w:rPr>
              <w:t xml:space="preserve"> quando existe pendência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Taxa de cancelamento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6856C7"/>
                <w:sz w:val="18"/>
              </w:rPr>
              <w:t>bookings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Cancelamentos / (concluídas + ausências + cancelamentos)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Período completo e período anterior equivalente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Amostra mínima de 10 no denominador atual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Taxa de ausência operacional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6856C7"/>
                <w:sz w:val="18"/>
              </w:rPr>
              <w:t>bookings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Ausências / (concluídas + ausências)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Período completo e período anterior equivalente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Amostra mínima de 10 no denominador atual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Taxa de retorno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6856C7"/>
                <w:sz w:val="18"/>
              </w:rPr>
              <w:t>bookings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Pessoas distintas com sessão concluída no período atual que já tinham sessão concluída antes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Período completo e período anterior equivalente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Amostra mínima de 10 pessoas no período atual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Recomendações persistidas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6856C7"/>
                <w:sz w:val="18"/>
              </w:rPr>
              <w:t>aura_recommendations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 xml:space="preserve">Ativas, </w:t>
            </w:r>
            <w:r>
              <w:rPr>
                <w:rFonts w:ascii="Consolas" w:hAnsi="Consolas"/>
                <w:color w:val="6856C7"/>
                <w:sz w:val="18"/>
              </w:rPr>
              <w:t>is_active</w:t>
            </w:r>
            <w:r>
              <w:rPr>
                <w:rFonts w:ascii="Calibri" w:hAnsi="Calibri"/>
                <w:color w:val="22233A"/>
                <w:sz w:val="17"/>
              </w:rPr>
              <w:t>, Premium Plus, não expiradas, sem paciente e sem booking, não demonstrativas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Validade da própria recomendação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Evidência e versão vêm da tabela, mas a UI usa uma evidência genérica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Dispensas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6856C7"/>
                <w:sz w:val="18"/>
              </w:rPr>
              <w:t>aura_recommendation_dismissals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Chave por terapeuta + recomendação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Período atual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Operação idempotente</w:t>
            </w:r>
          </w:p>
        </w:tc>
      </w:tr>
    </w:tbl>
    <w:p>
      <w:pPr>
        <w:spacing w:after="40"/>
      </w:pPr>
    </w:p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color w:val="14105A"/>
          <w:sz w:val="27"/>
        </w:rPr>
        <w:t>5.1 O que não entra na Aura MVP</w:t>
      </w:r>
    </w:p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color w:val="22233A"/>
          <w:sz w:val="21"/>
        </w:rPr>
        <w:t>Não entram no read model da página:</w:t>
      </w:r>
    </w:p>
    <w:p>
      <w:pPr>
        <w:spacing w:after="20"/>
      </w:pP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nomes ou identificadores de pacientes;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comentários privados, intake, conversa ou resumo de sessão;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texto clínico;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dados individuais do Match;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ranking ou média de outros terapeutas;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tendência agregada da demanda do portal;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confirmação de pagamento, repasse ou resultado clínico;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aprendizado automático a partir do comportamento do terapeuta.</w:t>
      </w:r>
    </w:p>
    <w:p>
      <w:pPr>
        <w:spacing w:after="20"/>
      </w:pPr>
    </w:p>
    <w:p>
      <w:pPr>
        <w:pStyle w:val="Heading1"/>
        <w:keepNext/>
        <w:pageBreakBefore w:val="0"/>
      </w:pPr>
      <w:r>
        <w:rPr>
          <w:rFonts w:ascii="Calibri" w:hAnsi="Calibri"/>
          <w:b/>
          <w:color w:val="14105A"/>
          <w:sz w:val="34"/>
        </w:rPr>
        <w:t>6. Regras de recomendação atuais</w:t>
      </w:r>
    </w:p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color w:val="22233A"/>
          <w:sz w:val="21"/>
        </w:rPr>
        <w:t xml:space="preserve">Todas as regras têm versão </w:t>
      </w:r>
      <w:r>
        <w:rPr>
          <w:rFonts w:ascii="Consolas" w:hAnsi="Consolas"/>
          <w:color w:val="6856C7"/>
          <w:sz w:val="18"/>
        </w:rPr>
        <w:t>1</w:t>
      </w:r>
      <w:r>
        <w:rPr>
          <w:rFonts w:ascii="Calibri" w:hAnsi="Calibri"/>
          <w:color w:val="22233A"/>
          <w:sz w:val="21"/>
        </w:rPr>
        <w:t>, prioridade e chave estável. A recomendação só aparece se a condição for verdadeira e se a chave não tiver sido dispensada no período atual.</w:t>
      </w:r>
    </w:p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850"/>
        <w:gridCol w:w="3250"/>
        <w:gridCol w:w="2060"/>
      </w:tblGrid>
      <w:tr>
        <w:trPr>
          <w:tblHeader w:val="true"/>
        </w:trP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E8EEF5" w:val="clear"/>
          </w:tcPr>
          <w:p>
            <w:pPr>
              <w:spacing w:before="0" w:after="0" w:line="259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4105A"/>
                <w:sz w:val="17"/>
              </w:rPr>
              <w:t>Prioridade</w:t>
            </w:r>
          </w:p>
        </w:tc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E8EEF5" w:val="clear"/>
          </w:tcPr>
          <w:p>
            <w:pPr>
              <w:spacing w:before="0" w:after="0" w:line="259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4105A"/>
                <w:sz w:val="17"/>
              </w:rPr>
              <w:t>Chave</w:t>
            </w:r>
          </w:p>
        </w:tc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E8EEF5" w:val="clear"/>
          </w:tcPr>
          <w:p>
            <w:pPr>
              <w:spacing w:before="0" w:after="0" w:line="259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4105A"/>
                <w:sz w:val="17"/>
              </w:rPr>
              <w:t>Quando aparece</w:t>
            </w:r>
          </w:p>
        </w:tc>
        <w:tc>
          <w:tcPr>
            <w:tcW w:type="dxa" w:w="20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E8EEF5" w:val="clear"/>
          </w:tcPr>
          <w:p>
            <w:pPr>
              <w:spacing w:before="0" w:after="0" w:line="259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4105A"/>
                <w:sz w:val="17"/>
              </w:rPr>
              <w:t>Ação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95</w:t>
            </w:r>
          </w:p>
        </w:tc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6856C7"/>
                <w:sz w:val="18"/>
              </w:rPr>
              <w:t>aura.booking_readiness.no_future_slots.v1</w:t>
            </w:r>
          </w:p>
        </w:tc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Há pelo menos uma terapia pública agendável, mas nenhuma possui horário nos próximos 14 dias</w:t>
            </w:r>
          </w:p>
        </w:tc>
        <w:tc>
          <w:tcPr>
            <w:tcW w:type="dxa" w:w="20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Revisar agenda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90</w:t>
            </w:r>
          </w:p>
        </w:tc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6856C7"/>
                <w:sz w:val="18"/>
              </w:rPr>
              <w:t>aura.reviews.pending_reply.v1</w:t>
            </w:r>
          </w:p>
        </w:tc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Existe pelo menos uma avaliação publicada sem resposta publicada</w:t>
            </w:r>
          </w:p>
        </w:tc>
        <w:tc>
          <w:tcPr>
            <w:tcW w:type="dxa" w:w="20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Responder avaliações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80</w:t>
            </w:r>
          </w:p>
        </w:tc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6856C7"/>
                <w:sz w:val="18"/>
              </w:rPr>
              <w:t>aura.sessions.cancellation_increased.v1</w:t>
            </w:r>
          </w:p>
        </w:tc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A taxa de cancelamento atual subiu em relação à anterior e ambas as bases necessárias estão prontas</w:t>
            </w:r>
          </w:p>
        </w:tc>
        <w:tc>
          <w:tcPr>
            <w:tcW w:type="dxa" w:w="20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Ver sessões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75</w:t>
            </w:r>
          </w:p>
        </w:tc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6856C7"/>
                <w:sz w:val="18"/>
              </w:rPr>
              <w:t>aura.sessions.no_show_increased.v1</w:t>
            </w:r>
          </w:p>
        </w:tc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A taxa de ausência atual subiu em relação à anterior e a base está pronta</w:t>
            </w:r>
          </w:p>
        </w:tc>
        <w:tc>
          <w:tcPr>
            <w:tcW w:type="dxa" w:w="20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Revisar sessões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70</w:t>
            </w:r>
          </w:p>
        </w:tc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6856C7"/>
                <w:sz w:val="18"/>
              </w:rPr>
              <w:t>aura.continuity.return_rate_decreased.v1</w:t>
            </w:r>
          </w:p>
        </w:tc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A taxa de retorno atual caiu em relação à anterior e a base está pronta</w:t>
            </w:r>
          </w:p>
        </w:tc>
        <w:tc>
          <w:tcPr>
            <w:tcW w:type="dxa" w:w="20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Ver continuidade</w:t>
            </w:r>
          </w:p>
        </w:tc>
      </w:tr>
    </w:tbl>
    <w:p>
      <w:pPr>
        <w:spacing w:after="40"/>
      </w:pPr>
    </w:p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color w:val="14105A"/>
          <w:sz w:val="27"/>
        </w:rPr>
        <w:t>6.1 Comportamento das taxas</w:t>
      </w:r>
    </w:p>
    <w:p>
      <w:pPr>
        <w:spacing w:after="20"/>
      </w:pP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O banco calcula percentuais com uma casa decimal.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Quando a amostra atual é menor que 10, valor, valor anterior e direção ficam nulos.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 xml:space="preserve">O mapper rejeita contrato que tente vazar um percentual parcial em estado </w:t>
      </w:r>
      <w:r>
        <w:rPr>
          <w:rFonts w:ascii="Consolas" w:hAnsi="Consolas"/>
          <w:color w:val="6856C7"/>
          <w:sz w:val="18"/>
        </w:rPr>
        <w:t>insufficient_sample</w:t>
      </w:r>
      <w:r>
        <w:rPr>
          <w:rFonts w:ascii="Calibri" w:hAnsi="Calibri"/>
          <w:color w:val="22233A"/>
          <w:sz w:val="21"/>
        </w:rPr>
        <w:t>.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Se a amostra atual é suficiente, mas a anterior não é, o valor atual pode aparecer, porém a direção fica neutra e nenhuma recomendação de piora é criada.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A regra dispara por direção (</w:t>
      </w:r>
      <w:r>
        <w:rPr>
          <w:rFonts w:ascii="Consolas" w:hAnsi="Consolas"/>
          <w:color w:val="6856C7"/>
          <w:sz w:val="18"/>
        </w:rPr>
        <w:t>up</w:t>
      </w:r>
      <w:r>
        <w:rPr>
          <w:rFonts w:ascii="Calibri" w:hAnsi="Calibri"/>
          <w:color w:val="22233A"/>
          <w:sz w:val="21"/>
        </w:rPr>
        <w:t xml:space="preserve"> ou </w:t>
      </w:r>
      <w:r>
        <w:rPr>
          <w:rFonts w:ascii="Consolas" w:hAnsi="Consolas"/>
          <w:color w:val="6856C7"/>
          <w:sz w:val="18"/>
        </w:rPr>
        <w:t>down</w:t>
      </w:r>
      <w:r>
        <w:rPr>
          <w:rFonts w:ascii="Calibri" w:hAnsi="Calibri"/>
          <w:color w:val="22233A"/>
          <w:sz w:val="21"/>
        </w:rPr>
        <w:t>), não por magnitude mínima de mudança. Uma diferença pequena, se arredondada em sentido de piora, pode gerar recomendação.</w:t>
      </w:r>
    </w:p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color w:val="14105A"/>
          <w:sz w:val="27"/>
        </w:rPr>
        <w:t>6.2 O que a Aura faz com o resultado</w:t>
      </w:r>
    </w:p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color w:val="22233A"/>
          <w:sz w:val="21"/>
        </w:rPr>
        <w:t>A Aura não altera automaticamente:</w:t>
      </w:r>
    </w:p>
    <w:p>
      <w:pPr>
        <w:spacing w:after="20"/>
      </w:pP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perfil;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agenda;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preço;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terapia;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mensagem;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pagamento;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cadastro do paciente.</w:t>
      </w:r>
    </w:p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color w:val="22233A"/>
          <w:sz w:val="21"/>
        </w:rPr>
        <w:t>Ela apenas apresenta uma orientação e abre uma área para o terapeuta decidir o próximo passo.</w:t>
      </w:r>
    </w:p>
    <w:p>
      <w:pPr>
        <w:spacing w:after="20"/>
      </w:pPr>
    </w:p>
    <w:p>
      <w:pPr>
        <w:pStyle w:val="Heading1"/>
        <w:keepNext/>
        <w:pageBreakBefore w:val="0"/>
      </w:pPr>
      <w:r>
        <w:rPr>
          <w:rFonts w:ascii="Calibri" w:hAnsi="Calibri"/>
          <w:b/>
          <w:color w:val="14105A"/>
          <w:sz w:val="34"/>
        </w:rPr>
        <w:t>7. Como a Aura muda com o tempo</w:t>
      </w:r>
    </w:p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color w:val="14105A"/>
          <w:sz w:val="27"/>
        </w:rPr>
        <w:t>7.1 O que recalcula</w:t>
      </w:r>
    </w:p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color w:val="22233A"/>
          <w:sz w:val="21"/>
        </w:rPr>
        <w:t xml:space="preserve">Cada carregamento da rota solicita novamente o RPC com </w:t>
      </w:r>
      <w:r>
        <w:rPr>
          <w:rFonts w:ascii="Consolas" w:hAnsi="Consolas"/>
          <w:color w:val="6856C7"/>
          <w:sz w:val="18"/>
        </w:rPr>
        <w:t>30</w:t>
      </w:r>
      <w:r>
        <w:rPr>
          <w:rFonts w:ascii="Calibri" w:hAnsi="Calibri"/>
          <w:color w:val="22233A"/>
          <w:sz w:val="21"/>
        </w:rPr>
        <w:t xml:space="preserve"> ou </w:t>
      </w:r>
      <w:r>
        <w:rPr>
          <w:rFonts w:ascii="Consolas" w:hAnsi="Consolas"/>
          <w:color w:val="6856C7"/>
          <w:sz w:val="18"/>
        </w:rPr>
        <w:t>90</w:t>
      </w:r>
      <w:r>
        <w:rPr>
          <w:rFonts w:ascii="Calibri" w:hAnsi="Calibri"/>
          <w:color w:val="22233A"/>
          <w:sz w:val="21"/>
        </w:rPr>
        <w:t xml:space="preserve"> dias. O período é recalculado a partir do dia local atual e do fuso do terapeuta. Com isso:</w:t>
      </w:r>
    </w:p>
    <w:p>
      <w:pPr>
        <w:spacing w:after="20"/>
      </w:pP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novos bookings entram quando passam a pertencer ao período completo;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cancelamentos e ausências alteram os denominadores;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pessoas que retornam podem fazer a taxa de continuidade sair de “Em formação”;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a direção pode mudar de estável para alta ou queda;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uma recomendação pode aparecer, desaparecer ou mudar de texto;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a disponibilidade dos próximos 14 dias muda em tempo quase real;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uma avaliação respondida reduz o contador de pendências.</w:t>
      </w:r>
    </w:p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color w:val="14105A"/>
          <w:sz w:val="27"/>
        </w:rPr>
        <w:t>7.2 O que não recalcula por aprendizado</w:t>
      </w:r>
    </w:p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color w:val="22233A"/>
          <w:sz w:val="21"/>
        </w:rPr>
        <w:t>Não existe modelo que aprenda com o tempo. A Aura não:</w:t>
      </w:r>
    </w:p>
    <w:p>
      <w:pPr>
        <w:spacing w:after="20"/>
      </w:pP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ajusta pesos automaticamente;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aprende quais sugestões funcionaram;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personaliza a linguagem por terapeuta;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registra conversão de uma recomendação em ação concluída;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compara a efetividade histórica de regras;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cria uma recomendação nova fora do conjunto de regras versionadas.</w:t>
      </w:r>
    </w:p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color w:val="14105A"/>
          <w:sz w:val="27"/>
        </w:rPr>
        <w:t>7.3 Dismissal e reaparecimento</w:t>
      </w:r>
    </w:p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color w:val="22233A"/>
          <w:sz w:val="21"/>
        </w:rPr>
        <w:t>A chave determinística é formada por:</w:t>
      </w:r>
    </w:p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7FA" w:val="clear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4105A"/>
                <w:sz w:val="17"/>
              </w:rPr>
              <w:t>ruleKey + periodStart + periodEnd</w:t>
            </w:r>
          </w:p>
        </w:tc>
      </w:tr>
    </w:tbl>
    <w:p>
      <w:pPr>
        <w:spacing w:after="40"/>
      </w:pPr>
    </w:p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color w:val="22233A"/>
          <w:sz w:val="21"/>
        </w:rPr>
        <w:t>Portanto, dispensar uma recomendação a oculta para aquele intervalo. Quando o próximo período for calculado, a chave muda e a mesma condição pode reaparecer. Isso é coerente com uma recomendação recorrente, mas precisa ser explicado ao terapeuta.</w:t>
      </w:r>
    </w:p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color w:val="14105A"/>
          <w:sz w:val="27"/>
        </w:rPr>
        <w:t>7.4 Relógios diferentes na mesma tela</w:t>
      </w:r>
    </w:p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color w:val="22233A"/>
          <w:sz w:val="21"/>
        </w:rPr>
        <w:t>Hoje a tela combina dados com frescor diferente:</w:t>
      </w:r>
    </w:p>
    <w:p>
      <w:pPr>
        <w:spacing w:after="20"/>
      </w:pP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sessões e retorno: últimos 30/90 dias completos;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agenda: próximos 14 dias a partir de agora;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avaliações sem resposta: todo o histórico publicado;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 xml:space="preserve">recomendações persistidas: dependem de </w:t>
      </w:r>
      <w:r>
        <w:rPr>
          <w:rFonts w:ascii="Consolas" w:hAnsi="Consolas"/>
          <w:color w:val="6856C7"/>
          <w:sz w:val="18"/>
        </w:rPr>
        <w:t>expires_at</w:t>
      </w:r>
      <w:r>
        <w:rPr>
          <w:rFonts w:ascii="Calibri" w:hAnsi="Calibri"/>
          <w:color w:val="22233A"/>
          <w:sz w:val="21"/>
        </w:rPr>
        <w:t>.</w:t>
      </w:r>
    </w:p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color w:val="22233A"/>
          <w:sz w:val="21"/>
        </w:rPr>
        <w:t>Mesmo que a UI mostre “Últimos 30/90 dias completos”, esse rótulo não descreve igualmente todos os cards.</w:t>
      </w:r>
    </w:p>
    <w:p>
      <w:pPr>
        <w:spacing w:after="20"/>
      </w:pPr>
    </w:p>
    <w:p>
      <w:pPr>
        <w:pStyle w:val="Heading1"/>
        <w:keepNext/>
        <w:pageBreakBefore w:val="0"/>
      </w:pPr>
      <w:r>
        <w:rPr>
          <w:rFonts w:ascii="Calibri" w:hAnsi="Calibri"/>
          <w:b/>
          <w:color w:val="14105A"/>
          <w:sz w:val="34"/>
        </w:rPr>
        <w:t>8. Os dados são reais e compatíveis?</w:t>
      </w:r>
    </w:p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color w:val="14105A"/>
          <w:sz w:val="27"/>
        </w:rPr>
        <w:t>8.1 O que foi comprovado localmente</w:t>
      </w:r>
    </w:p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color w:val="22233A"/>
          <w:sz w:val="21"/>
        </w:rPr>
        <w:t>O Supabase local estava ativo e a migration da Aura estava aplicada. O snapshot local consultado tinha:</w:t>
      </w:r>
    </w:p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E8EEF5" w:val="clear"/>
          </w:tcPr>
          <w:p>
            <w:pPr>
              <w:spacing w:before="0" w:after="0" w:line="259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4105A"/>
                <w:sz w:val="18"/>
              </w:rPr>
              <w:t>Evidência local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E8EEF5" w:val="clear"/>
          </w:tcPr>
          <w:p>
            <w:pPr>
              <w:spacing w:before="0" w:after="0" w:line="259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4105A"/>
                <w:sz w:val="18"/>
              </w:rPr>
              <w:t>Quantidade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8"/>
              </w:rPr>
              <w:t>Perfis de terapeuta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8"/>
              </w:rPr>
              <w:t>42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8"/>
              </w:rPr>
              <w:t>Bookings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8"/>
              </w:rPr>
              <w:t>69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8"/>
              </w:rPr>
              <w:t>Avaliações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8"/>
              </w:rPr>
              <w:t>16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8"/>
              </w:rPr>
              <w:t>Recomendações persistidas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8"/>
              </w:rPr>
              <w:t>5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8"/>
              </w:rPr>
              <w:t>Dismissals Aura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8"/>
              </w:rPr>
              <w:t>0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8"/>
              </w:rPr>
              <w:t>Eventos de métricas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8"/>
              </w:rPr>
              <w:t>3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8"/>
              </w:rPr>
              <w:t>Agregados diários de métricas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8"/>
              </w:rPr>
              <w:t>3</w:t>
            </w:r>
          </w:p>
        </w:tc>
      </w:tr>
    </w:tbl>
    <w:p>
      <w:pPr>
        <w:spacing w:after="40"/>
      </w:pPr>
    </w:p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color w:val="22233A"/>
          <w:sz w:val="21"/>
        </w:rPr>
        <w:t>Esses números demonstram que a base local possui dados e que o RPC consegue executar. Eles não são evidência de produção.</w:t>
      </w:r>
    </w:p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color w:val="22233A"/>
          <w:sz w:val="21"/>
        </w:rPr>
        <w:t>Para o perfil Premium Plus de teste da base local, sem reproduzir seu identificador:</w:t>
      </w:r>
    </w:p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E8EEF5" w:val="clear"/>
          </w:tcPr>
          <w:p>
            <w:pPr>
              <w:spacing w:before="0" w:after="0" w:line="259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4105A"/>
                <w:sz w:val="18"/>
              </w:rPr>
              <w:t>Período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E8EEF5" w:val="clear"/>
          </w:tcPr>
          <w:p>
            <w:pPr>
              <w:spacing w:before="0" w:after="0" w:line="259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4105A"/>
                <w:sz w:val="18"/>
              </w:rPr>
              <w:t>Resultado observado no RPC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8"/>
              </w:rPr>
              <w:t>30 dias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8"/>
              </w:rPr>
              <w:t>7 avaliações pendentes; 1 serviço publicável e 1 com disponibilidade futura; cancelamentos com amostra 9; ausências com amostra 8; retorno com amostra 6; percentuais ocultos; nenhuma recomendação elegível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8"/>
              </w:rPr>
              <w:t>90 dias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8"/>
              </w:rPr>
              <w:t>7 avaliações pendentes; 1 serviço publicável e 1 com disponibilidade futura; cancelamento 8,3% com amostra 12; ausência 9,1% com amostra 11; retorno oculto com amostra 9; nenhuma recomendação elegível</w:t>
            </w:r>
          </w:p>
        </w:tc>
      </w:tr>
    </w:tbl>
    <w:p>
      <w:pPr>
        <w:spacing w:after="40"/>
      </w:pPr>
    </w:p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color w:val="22233A"/>
          <w:sz w:val="21"/>
        </w:rPr>
        <w:t>A leitura local é compatível com a regra implementada: em 30 dias as três taxas ficam abaixo da trava de 10; em 90 dias duas taxas ficam prontas, mas estáveis e sem comparação anterior suficiente, enquanto o retorno continua insuficiente. Como há disponibilidade futura, a regra de agenda sem horário não dispara.</w:t>
      </w:r>
    </w:p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color w:val="14105A"/>
          <w:sz w:val="27"/>
        </w:rPr>
        <w:t>8.2 O que não foi comprovado</w:t>
      </w:r>
    </w:p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color w:val="22233A"/>
          <w:sz w:val="21"/>
        </w:rPr>
        <w:t>Não foi possível afirmar, nesta análise, que:</w:t>
      </w:r>
    </w:p>
    <w:p>
      <w:pPr>
        <w:spacing w:after="20"/>
      </w:pP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o ambiente HML possui a mesma migration e os mesmos grants;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o ambiente HML possui dados transacionais suficientes para as regras;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o ambiente remoto/produção possui recomendações persistidas coerentes;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o slot engine em produção retorna exatamente os mesmos resultados;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o título foi validado em uma sessão autenticada real no navegador;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a Aura foi homologada por um terapeuta Premium Plus em produção.</w:t>
      </w:r>
    </w:p>
    <w:p>
      <w:pPr>
        <w:spacing w:after="20"/>
      </w:pPr>
    </w:p>
    <w:p>
      <w:pPr>
        <w:pStyle w:val="Heading1"/>
        <w:keepNext/>
        <w:pageBreakBefore w:val="0"/>
      </w:pPr>
      <w:r>
        <w:rPr>
          <w:rFonts w:ascii="Calibri" w:hAnsi="Calibri"/>
          <w:b/>
          <w:color w:val="14105A"/>
          <w:sz w:val="34"/>
        </w:rPr>
        <w:t>9. Inconsistências encontradas</w:t>
      </w:r>
    </w:p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900"/>
        <w:gridCol w:w="2600"/>
        <w:gridCol w:w="1900"/>
        <w:gridCol w:w="1560"/>
      </w:tblGrid>
      <w:tr>
        <w:trPr>
          <w:tblHeader w:val="true"/>
        </w:trP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E8EEF5" w:val="clear"/>
          </w:tcPr>
          <w:p>
            <w:pPr>
              <w:spacing w:before="0" w:after="0" w:line="259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4105A"/>
                <w:sz w:val="17"/>
              </w:rPr>
              <w:t>ID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E8EEF5" w:val="clear"/>
          </w:tcPr>
          <w:p>
            <w:pPr>
              <w:spacing w:before="0" w:after="0" w:line="259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4105A"/>
                <w:sz w:val="17"/>
              </w:rPr>
              <w:t>Inconsistência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E8EEF5" w:val="clear"/>
          </w:tcPr>
          <w:p>
            <w:pPr>
              <w:spacing w:before="0" w:after="0" w:line="259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4105A"/>
                <w:sz w:val="17"/>
              </w:rPr>
              <w:t>Impacto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E8EEF5" w:val="clear"/>
          </w:tcPr>
          <w:p>
            <w:pPr>
              <w:spacing w:before="0" w:after="0" w:line="259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4105A"/>
                <w:sz w:val="17"/>
              </w:rPr>
              <w:t>Severidade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E8EEF5" w:val="clear"/>
          </w:tcPr>
          <w:p>
            <w:pPr>
              <w:spacing w:before="0" w:after="0" w:line="259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4105A"/>
                <w:sz w:val="17"/>
              </w:rPr>
              <w:t>Evidência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AURA-01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Título da página estava “Aura IA”, mas o nome público canônico é “Assessora Aura”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Confunde nomenclatura e pode sugerir uma feature diferente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Corrigida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6856C7"/>
                <w:sz w:val="18"/>
              </w:rPr>
              <w:t>src/features/therapist-aura/components/therapist-aura-page.tsx:78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AURA-02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 xml:space="preserve">Página dedicada usa RPC + regras; dashboard usa REST direto em </w:t>
            </w:r>
            <w:r>
              <w:rPr>
                <w:rFonts w:ascii="Consolas" w:hAnsi="Consolas"/>
                <w:color w:val="6856C7"/>
                <w:sz w:val="18"/>
              </w:rPr>
              <w:t>aura_recommendations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Duas fontes e dois comportamentos para a mesma Aura; cards podem divergir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Alta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6856C7"/>
                <w:sz w:val="18"/>
              </w:rPr>
              <w:t>src/features/therapist-aura/therapist-aura.queries.ts:11</w:t>
            </w:r>
            <w:r>
              <w:rPr>
                <w:rFonts w:ascii="Calibri" w:hAnsi="Calibri"/>
                <w:color w:val="22233A"/>
                <w:sz w:val="17"/>
              </w:rPr>
              <w:t xml:space="preserve">; </w:t>
            </w:r>
            <w:r>
              <w:rPr>
                <w:rFonts w:ascii="Consolas" w:hAnsi="Consolas"/>
                <w:color w:val="6856C7"/>
                <w:sz w:val="18"/>
              </w:rPr>
              <w:t>src/features/therapist-dashboard/therapist-dashboard.queries.ts:19-21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AURA-03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 xml:space="preserve">O filtro de recomendações demonstração depende de </w:t>
            </w:r>
            <w:r>
              <w:rPr>
                <w:rFonts w:ascii="Consolas" w:hAnsi="Consolas"/>
                <w:color w:val="6856C7"/>
                <w:sz w:val="18"/>
              </w:rPr>
              <w:t>context.source</w:t>
            </w:r>
            <w:r>
              <w:rPr>
                <w:rFonts w:ascii="Calibri" w:hAnsi="Calibri"/>
                <w:color w:val="22233A"/>
                <w:sz w:val="17"/>
              </w:rPr>
              <w:t>, mas o seed local não grava esse campo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 xml:space="preserve">Em reset local, recomendações seed podem entrar no RPC porque </w:t>
            </w:r>
            <w:r>
              <w:rPr>
                <w:rFonts w:ascii="Consolas" w:hAnsi="Consolas"/>
                <w:color w:val="6856C7"/>
                <w:sz w:val="18"/>
              </w:rPr>
              <w:t>coalesce(NULL, '') &lt;&gt; 'demo_seed'</w:t>
            </w:r>
            <w:r>
              <w:rPr>
                <w:rFonts w:ascii="Calibri" w:hAnsi="Calibri"/>
                <w:color w:val="22233A"/>
                <w:sz w:val="17"/>
              </w:rPr>
              <w:t>; o dashboard aplica outro filtro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Alta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 xml:space="preserve">migration </w:t>
            </w:r>
            <w:r>
              <w:rPr>
                <w:rFonts w:ascii="Consolas" w:hAnsi="Consolas"/>
                <w:color w:val="6856C7"/>
                <w:sz w:val="18"/>
              </w:rPr>
              <w:t>20260731173000...sql:55-75,317-324</w:t>
            </w:r>
            <w:r>
              <w:rPr>
                <w:rFonts w:ascii="Calibri" w:hAnsi="Calibri"/>
                <w:color w:val="22233A"/>
                <w:sz w:val="17"/>
              </w:rPr>
              <w:t xml:space="preserve">; seed </w:t>
            </w:r>
            <w:r>
              <w:rPr>
                <w:rFonts w:ascii="Consolas" w:hAnsi="Consolas"/>
                <w:color w:val="6856C7"/>
                <w:sz w:val="18"/>
              </w:rPr>
              <w:t>local-test-data.sql:2003-2020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AURA-04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6856C7"/>
                <w:sz w:val="18"/>
              </w:rPr>
              <w:t>aura_recommendations</w:t>
            </w:r>
            <w:r>
              <w:rPr>
                <w:rFonts w:ascii="Calibri" w:hAnsi="Calibri"/>
                <w:color w:val="22233A"/>
                <w:sz w:val="17"/>
              </w:rPr>
              <w:t xml:space="preserve"> local possui cinco linhas seed, todas expiradas no snapshot atual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A presença da tabela não prova que haja recomendação produtiva vigente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Alta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 xml:space="preserve">consulta local read-only; seed define </w:t>
            </w:r>
            <w:r>
              <w:rPr>
                <w:rFonts w:ascii="Consolas" w:hAnsi="Consolas"/>
                <w:color w:val="6856C7"/>
                <w:sz w:val="18"/>
              </w:rPr>
              <w:t>now() + 14 days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AURA-05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A tela chama a Aura de “assistente inteligente” e “insights gerados automaticamente”, mas não explica “regras determinísticas”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Risco de expectativa de IA generativa, aprendizado ou causalidade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Média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 xml:space="preserve">página </w:t>
            </w:r>
            <w:r>
              <w:rPr>
                <w:rFonts w:ascii="Consolas" w:hAnsi="Consolas"/>
                <w:color w:val="6856C7"/>
                <w:sz w:val="18"/>
              </w:rPr>
              <w:t>:81-95</w:t>
            </w:r>
            <w:r>
              <w:rPr>
                <w:rFonts w:ascii="Calibri" w:hAnsi="Calibri"/>
                <w:color w:val="22233A"/>
                <w:sz w:val="17"/>
              </w:rPr>
              <w:t>; skill Aura e estratégia de métricas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AURA-06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Barras de referência têm alturas fixas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Podem ser interpretadas como gráfico real, apesar de não representarem dados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Média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6856C7"/>
                <w:sz w:val="18"/>
              </w:rPr>
              <w:t>ReferenceBars</w:t>
            </w:r>
            <w:r>
              <w:rPr>
                <w:rFonts w:ascii="Calibri" w:hAnsi="Calibri"/>
                <w:color w:val="22233A"/>
                <w:sz w:val="17"/>
              </w:rPr>
              <w:t xml:space="preserve">, página </w:t>
            </w:r>
            <w:r>
              <w:rPr>
                <w:rFonts w:ascii="Consolas" w:hAnsi="Consolas"/>
                <w:color w:val="6856C7"/>
                <w:sz w:val="18"/>
              </w:rPr>
              <w:t>:514-535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AURA-07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“Insights do período”, “Oportunidades” e “Ações” são contagens muito próximas ou redundantes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KPIs parecem desempenho, mas medem quantidade de cartões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Média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 xml:space="preserve">página </w:t>
            </w:r>
            <w:r>
              <w:rPr>
                <w:rFonts w:ascii="Consolas" w:hAnsi="Consolas"/>
                <w:color w:val="6856C7"/>
                <w:sz w:val="18"/>
              </w:rPr>
              <w:t>:123-166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AURA-08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Avaliações pendentes não usam o filtro 30/90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O número pode permanecer igual ao trocar o período, embora a tela sugira uma leitura do período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Média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 xml:space="preserve">migration </w:t>
            </w:r>
            <w:r>
              <w:rPr>
                <w:rFonts w:ascii="Consolas" w:hAnsi="Consolas"/>
                <w:color w:val="6856C7"/>
                <w:sz w:val="18"/>
              </w:rPr>
              <w:t>:249-263</w:t>
            </w:r>
            <w:r>
              <w:rPr>
                <w:rFonts w:ascii="Calibri" w:hAnsi="Calibri"/>
                <w:color w:val="22233A"/>
                <w:sz w:val="17"/>
              </w:rPr>
              <w:t xml:space="preserve">; página </w:t>
            </w:r>
            <w:r>
              <w:rPr>
                <w:rFonts w:ascii="Consolas" w:hAnsi="Consolas"/>
                <w:color w:val="6856C7"/>
                <w:sz w:val="18"/>
              </w:rPr>
              <w:t>:186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AURA-09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Disponibilidade usa próximos 14 dias, fora do período histórico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Mistura passado e futuro sem explicar o escopo de cada card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Média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 xml:space="preserve">migration </w:t>
            </w:r>
            <w:r>
              <w:rPr>
                <w:rFonts w:ascii="Consolas" w:hAnsi="Consolas"/>
                <w:color w:val="6856C7"/>
                <w:sz w:val="18"/>
              </w:rPr>
              <w:t>:158-159,270-297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AURA-10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6856C7"/>
                <w:sz w:val="18"/>
              </w:rPr>
              <w:t>freshThrough</w:t>
            </w:r>
            <w:r>
              <w:rPr>
                <w:rFonts w:ascii="Calibri" w:hAnsi="Calibri"/>
                <w:color w:val="22233A"/>
                <w:sz w:val="17"/>
              </w:rPr>
              <w:t xml:space="preserve"> é único e igual ao fim do período histórico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Não expressa o frescor real de agenda, reviews e recomendações persistidas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Média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 xml:space="preserve">migration </w:t>
            </w:r>
            <w:r>
              <w:rPr>
                <w:rFonts w:ascii="Consolas" w:hAnsi="Consolas"/>
                <w:color w:val="6856C7"/>
                <w:sz w:val="18"/>
              </w:rPr>
              <w:t>:358-364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AURA-11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Evidência persistida é carregada no contrato, mas a UI exibe texto genérico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O terapeuta não vê a evidência específica que justificou a recomendação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Média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 xml:space="preserve">mapper </w:t>
            </w:r>
            <w:r>
              <w:rPr>
                <w:rFonts w:ascii="Consolas" w:hAnsi="Consolas"/>
                <w:color w:val="6856C7"/>
                <w:sz w:val="18"/>
              </w:rPr>
              <w:t>:136-151</w:t>
            </w:r>
            <w:r>
              <w:rPr>
                <w:rFonts w:ascii="Calibri" w:hAnsi="Calibri"/>
                <w:color w:val="22233A"/>
                <w:sz w:val="17"/>
              </w:rPr>
              <w:t xml:space="preserve">; tipo </w:t>
            </w:r>
            <w:r>
              <w:rPr>
                <w:rFonts w:ascii="Consolas" w:hAnsi="Consolas"/>
                <w:color w:val="6856C7"/>
                <w:sz w:val="18"/>
              </w:rPr>
              <w:t>AuraPersistedRecommendation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AURA-12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 xml:space="preserve">Estados </w:t>
            </w:r>
            <w:r>
              <w:rPr>
                <w:rFonts w:ascii="Consolas" w:hAnsi="Consolas"/>
                <w:color w:val="6856C7"/>
                <w:sz w:val="18"/>
              </w:rPr>
              <w:t>processing</w:t>
            </w:r>
            <w:r>
              <w:rPr>
                <w:rFonts w:ascii="Calibri" w:hAnsi="Calibri"/>
                <w:color w:val="22233A"/>
                <w:sz w:val="17"/>
              </w:rPr>
              <w:t xml:space="preserve"> e </w:t>
            </w:r>
            <w:r>
              <w:rPr>
                <w:rFonts w:ascii="Consolas" w:hAnsi="Consolas"/>
                <w:color w:val="6856C7"/>
                <w:sz w:val="18"/>
              </w:rPr>
              <w:t>unavailable</w:t>
            </w:r>
            <w:r>
              <w:rPr>
                <w:rFonts w:ascii="Calibri" w:hAnsi="Calibri"/>
                <w:color w:val="22233A"/>
                <w:sz w:val="17"/>
              </w:rPr>
              <w:t xml:space="preserve"> aparecem no tipo geral, mas os sinais efetivos aceitam apenas </w:t>
            </w:r>
            <w:r>
              <w:rPr>
                <w:rFonts w:ascii="Consolas" w:hAnsi="Consolas"/>
                <w:color w:val="6856C7"/>
                <w:sz w:val="18"/>
              </w:rPr>
              <w:t>empty</w:t>
            </w:r>
            <w:r>
              <w:rPr>
                <w:rFonts w:ascii="Calibri" w:hAnsi="Calibri"/>
                <w:color w:val="22233A"/>
                <w:sz w:val="17"/>
              </w:rPr>
              <w:t>/</w:t>
            </w:r>
            <w:r>
              <w:rPr>
                <w:rFonts w:ascii="Consolas" w:hAnsi="Consolas"/>
                <w:color w:val="6856C7"/>
                <w:sz w:val="18"/>
              </w:rPr>
              <w:t>ready</w:t>
            </w:r>
            <w:r>
              <w:rPr>
                <w:rFonts w:ascii="Calibri" w:hAnsi="Calibri"/>
                <w:color w:val="22233A"/>
                <w:sz w:val="17"/>
              </w:rPr>
              <w:t xml:space="preserve"> ou </w:t>
            </w:r>
            <w:r>
              <w:rPr>
                <w:rFonts w:ascii="Consolas" w:hAnsi="Consolas"/>
                <w:color w:val="6856C7"/>
                <w:sz w:val="18"/>
              </w:rPr>
              <w:t>insufficient_sample</w:t>
            </w:r>
            <w:r>
              <w:rPr>
                <w:rFonts w:ascii="Calibri" w:hAnsi="Calibri"/>
                <w:color w:val="22233A"/>
                <w:sz w:val="17"/>
              </w:rPr>
              <w:t>/</w:t>
            </w:r>
            <w:r>
              <w:rPr>
                <w:rFonts w:ascii="Consolas" w:hAnsi="Consolas"/>
                <w:color w:val="6856C7"/>
                <w:sz w:val="18"/>
              </w:rPr>
              <w:t>ready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O contrato promete estados que não conseguem ser representados de forma uniforme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Baixa/Média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6856C7"/>
                <w:sz w:val="18"/>
              </w:rPr>
              <w:t>therapist-aura.types.ts:1-16,28-46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AURA-13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Não há evento de “ação recomendada concluída”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Não é possível medir eficácia, abandono ou retorno de cada sugestão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Média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7"/>
              </w:rPr>
              <w:t>nenhum evento/telemetria identificado no fluxo Aura</w:t>
            </w:r>
          </w:p>
        </w:tc>
      </w:tr>
    </w:tbl>
    <w:p>
      <w:pPr>
        <w:spacing w:after="40"/>
      </w:pPr>
    </w:p>
    <w:p>
      <w:pPr>
        <w:spacing w:after="20"/>
      </w:pPr>
    </w:p>
    <w:p>
      <w:pPr>
        <w:pStyle w:val="Heading1"/>
        <w:keepNext/>
        <w:pageBreakBefore w:val="0"/>
      </w:pPr>
      <w:r>
        <w:rPr>
          <w:rFonts w:ascii="Calibri" w:hAnsi="Calibri"/>
          <w:b/>
          <w:color w:val="14105A"/>
          <w:sz w:val="34"/>
        </w:rPr>
        <w:t>10. O que deveria aparecer para o terapeuta</w:t>
      </w:r>
    </w:p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color w:val="14105A"/>
          <w:sz w:val="27"/>
        </w:rPr>
        <w:t>10.1 Identidade e transparência</w:t>
      </w:r>
    </w:p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color w:val="22233A"/>
          <w:sz w:val="21"/>
        </w:rPr>
        <w:t>O hero deveria usar:</w:t>
      </w:r>
    </w:p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1EEFF" w:val="clear"/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color w:val="22233A"/>
                <w:sz w:val="21"/>
              </w:rPr>
              <w:t xml:space="preserve">Assessora Aura  </w:t>
            </w:r>
            <w:r>
              <w:br/>
            </w:r>
            <w:r>
              <w:rPr>
                <w:rFonts w:ascii="Calibri" w:hAnsi="Calibri"/>
                <w:color w:val="22233A"/>
                <w:sz w:val="21"/>
              </w:rPr>
              <w:t>Recomendações baseadas em regras a partir dos seus dados operacionais no TES.</w:t>
            </w:r>
          </w:p>
        </w:tc>
      </w:tr>
    </w:tbl>
    <w:p>
      <w:pPr>
        <w:spacing w:after="40"/>
      </w:pPr>
    </w:p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color w:val="22233A"/>
          <w:sz w:val="21"/>
        </w:rPr>
        <w:t>Também deveria haver um link ou ajuda curta explicando:</w:t>
      </w:r>
    </w:p>
    <w:p>
      <w:pPr>
        <w:spacing w:after="20"/>
      </w:pP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quais dados entram;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quais dados não entram;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que não é diagnóstico;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que não há comparação com outros terapeutas;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que uma recomendação é um próximo passo, não uma promessa de resultado.</w:t>
      </w:r>
    </w:p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color w:val="14105A"/>
          <w:sz w:val="27"/>
        </w:rPr>
        <w:t>10.2 Frescor por bloco</w:t>
      </w:r>
    </w:p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color w:val="22233A"/>
          <w:sz w:val="21"/>
        </w:rPr>
        <w:t>Cada card deveria informar, de modo compacto:</w:t>
      </w:r>
    </w:p>
    <w:p>
      <w:pPr>
        <w:spacing w:after="20"/>
      </w:pP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janela analisada;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última atualização;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fuso horário;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amostra observada e mínima, quando aplicável;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estado: pronto, sem base, amostra insuficiente, processamento ou indisponível.</w:t>
      </w:r>
    </w:p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color w:val="22233A"/>
          <w:sz w:val="21"/>
        </w:rPr>
        <w:t>Exemplo:</w:t>
      </w:r>
    </w:p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1EEFF" w:val="clear"/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color w:val="22233A"/>
                <w:sz w:val="21"/>
              </w:rPr>
              <w:t xml:space="preserve">Retorno: em formação  </w:t>
            </w:r>
            <w:r>
              <w:br/>
            </w:r>
            <w:r>
              <w:rPr>
                <w:rFonts w:ascii="Calibri" w:hAnsi="Calibri"/>
                <w:color w:val="22233A"/>
                <w:sz w:val="21"/>
              </w:rPr>
              <w:t xml:space="preserve">6 pessoas observadas; mínimo de 10  </w:t>
            </w:r>
            <w:r>
              <w:br/>
            </w:r>
            <w:r>
              <w:rPr>
                <w:rFonts w:ascii="Calibri" w:hAnsi="Calibri"/>
                <w:color w:val="22233A"/>
                <w:sz w:val="21"/>
              </w:rPr>
              <w:t>Última leitura: 24/08/2026, horário de São Paulo</w:t>
            </w:r>
          </w:p>
        </w:tc>
      </w:tr>
    </w:tbl>
    <w:p>
      <w:pPr>
        <w:spacing w:after="40"/>
      </w:pPr>
    </w:p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color w:val="14105A"/>
          <w:sz w:val="27"/>
        </w:rPr>
        <w:t>10.3 Recomendações com evidência verificável</w:t>
      </w:r>
    </w:p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color w:val="22233A"/>
          <w:sz w:val="21"/>
        </w:rPr>
        <w:t>Cada recomendação deveria mostrar uma frase de evidência baseada no sinal real, por exemplo:</w:t>
      </w:r>
    </w:p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1EEFF" w:val="clear"/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color w:val="22233A"/>
                <w:sz w:val="21"/>
              </w:rPr>
              <w:t>9 sessões consideradas no período atual. A taxa não foi exibida porque a amostra mínima é 10.</w:t>
            </w:r>
          </w:p>
        </w:tc>
      </w:tr>
    </w:tbl>
    <w:p>
      <w:pPr>
        <w:spacing w:after="40"/>
      </w:pPr>
    </w:p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color w:val="22233A"/>
          <w:sz w:val="21"/>
        </w:rPr>
        <w:t>Quando houver recomendação:</w:t>
      </w:r>
    </w:p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1EEFF" w:val="clear"/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color w:val="22233A"/>
                <w:sz w:val="21"/>
              </w:rPr>
              <w:t>Cancelamentos: 18,0% no período atual contra 5,0% no período anterior. 20 sessões consideradas.</w:t>
            </w:r>
          </w:p>
        </w:tc>
      </w:tr>
    </w:tbl>
    <w:p>
      <w:pPr>
        <w:spacing w:after="40"/>
      </w:pPr>
    </w:p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color w:val="22233A"/>
          <w:sz w:val="21"/>
        </w:rPr>
        <w:t>O conteúdo persistido deve usar sua própria evidência, e não o texto genérico “registrada por regra determinística”.</w:t>
      </w:r>
    </w:p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color w:val="14105A"/>
          <w:sz w:val="27"/>
        </w:rPr>
        <w:t>10.4 Estados sem amostra</w:t>
      </w:r>
    </w:p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color w:val="22233A"/>
          <w:sz w:val="21"/>
        </w:rPr>
        <w:t>O correto é manter “Em formação” e explicar a amostra. Nunca preencher com porcentagem inventada, gráfico decorativo que pareça histórico ou zero que signifique “não medido”.</w:t>
      </w:r>
    </w:p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color w:val="14105A"/>
          <w:sz w:val="27"/>
        </w:rPr>
        <w:t>10.5 Separação entre observação e ação</w:t>
      </w:r>
    </w:p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color w:val="22233A"/>
          <w:sz w:val="21"/>
        </w:rPr>
        <w:t>A hierarquia ideal é:</w:t>
      </w:r>
    </w:p>
    <w:p>
      <w:pPr>
        <w:spacing w:after="20"/>
      </w:pPr>
    </w:p>
    <w:p>
      <w:pPr>
        <w:pStyle w:val="ListNumber"/>
        <w:spacing w:before="0" w:after="80" w:line="288" w:lineRule="auto"/>
        <w:ind w:left="720" w:hanging="360"/>
      </w:pPr>
      <w:r>
        <w:rPr>
          <w:rFonts w:ascii="Calibri" w:hAnsi="Calibri"/>
          <w:b/>
          <w:color w:val="22233A"/>
          <w:sz w:val="21"/>
        </w:rPr>
        <w:t>O que foi observado</w:t>
      </w:r>
      <w:r>
        <w:rPr>
          <w:rFonts w:ascii="Calibri" w:hAnsi="Calibri"/>
          <w:color w:val="22233A"/>
          <w:sz w:val="21"/>
        </w:rPr>
        <w:t>;</w:t>
      </w:r>
    </w:p>
    <w:p>
      <w:pPr>
        <w:pStyle w:val="ListNumber"/>
        <w:spacing w:before="0" w:after="80" w:line="288" w:lineRule="auto"/>
        <w:ind w:left="720" w:hanging="360"/>
      </w:pPr>
      <w:r>
        <w:rPr>
          <w:rFonts w:ascii="Calibri" w:hAnsi="Calibri"/>
          <w:b/>
          <w:color w:val="22233A"/>
          <w:sz w:val="21"/>
        </w:rPr>
        <w:t>Por que isso é relevante</w:t>
      </w:r>
      <w:r>
        <w:rPr>
          <w:rFonts w:ascii="Calibri" w:hAnsi="Calibri"/>
          <w:color w:val="22233A"/>
          <w:sz w:val="21"/>
        </w:rPr>
        <w:t>;</w:t>
      </w:r>
    </w:p>
    <w:p>
      <w:pPr>
        <w:pStyle w:val="ListNumber"/>
        <w:spacing w:before="0" w:after="80" w:line="288" w:lineRule="auto"/>
        <w:ind w:left="720" w:hanging="360"/>
      </w:pPr>
      <w:r>
        <w:rPr>
          <w:rFonts w:ascii="Calibri" w:hAnsi="Calibri"/>
          <w:b/>
          <w:color w:val="22233A"/>
          <w:sz w:val="21"/>
        </w:rPr>
        <w:t>Qual ação pode ser considerada</w:t>
      </w:r>
      <w:r>
        <w:rPr>
          <w:rFonts w:ascii="Calibri" w:hAnsi="Calibri"/>
          <w:color w:val="22233A"/>
          <w:sz w:val="21"/>
        </w:rPr>
        <w:t>;</w:t>
      </w:r>
    </w:p>
    <w:p>
      <w:pPr>
        <w:pStyle w:val="ListNumber"/>
        <w:spacing w:before="0" w:after="80" w:line="288" w:lineRule="auto"/>
        <w:ind w:left="720" w:hanging="360"/>
      </w:pPr>
      <w:r>
        <w:rPr>
          <w:rFonts w:ascii="Calibri" w:hAnsi="Calibri"/>
          <w:b/>
          <w:color w:val="22233A"/>
          <w:sz w:val="21"/>
        </w:rPr>
        <w:t>Abrir a área correspondente</w:t>
      </w:r>
      <w:r>
        <w:rPr>
          <w:rFonts w:ascii="Calibri" w:hAnsi="Calibri"/>
          <w:color w:val="22233A"/>
          <w:sz w:val="21"/>
        </w:rPr>
        <w:t>;</w:t>
      </w:r>
    </w:p>
    <w:p>
      <w:pPr>
        <w:pStyle w:val="ListNumber"/>
        <w:spacing w:before="0" w:after="80" w:line="288" w:lineRule="auto"/>
        <w:ind w:left="720" w:hanging="360"/>
      </w:pPr>
      <w:r>
        <w:rPr>
          <w:rFonts w:ascii="Calibri" w:hAnsi="Calibri"/>
          <w:b/>
          <w:color w:val="22233A"/>
          <w:sz w:val="21"/>
        </w:rPr>
        <w:t>Dispensar</w:t>
      </w:r>
      <w:r>
        <w:rPr>
          <w:rFonts w:ascii="Calibri" w:hAnsi="Calibri"/>
          <w:color w:val="22233A"/>
          <w:sz w:val="21"/>
        </w:rPr>
        <w:t>.</w:t>
      </w:r>
    </w:p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color w:val="22233A"/>
          <w:sz w:val="21"/>
        </w:rPr>
        <w:t>Isso evita que o terapeuta confunda um sinal operacional com uma ordem ou diagnóstico.</w:t>
      </w:r>
    </w:p>
    <w:p>
      <w:pPr>
        <w:spacing w:after="20"/>
      </w:pPr>
    </w:p>
    <w:p>
      <w:pPr>
        <w:pStyle w:val="Heading1"/>
        <w:keepNext/>
        <w:pageBreakBefore w:val="0"/>
      </w:pPr>
      <w:r>
        <w:rPr>
          <w:rFonts w:ascii="Calibri" w:hAnsi="Calibri"/>
          <w:b/>
          <w:color w:val="14105A"/>
          <w:sz w:val="34"/>
        </w:rPr>
        <w:t>11. Melhorias recomendadas e priorizadas</w:t>
      </w:r>
    </w:p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color w:val="14105A"/>
          <w:sz w:val="27"/>
        </w:rPr>
        <w:t>P0 — corrigir antes de considerar o módulo coerente</w:t>
      </w:r>
    </w:p>
    <w:p>
      <w:pPr>
        <w:spacing w:after="20"/>
      </w:pPr>
    </w:p>
    <w:p>
      <w:pPr>
        <w:pStyle w:val="ListNumber"/>
        <w:spacing w:before="0" w:after="80" w:line="288" w:lineRule="auto"/>
        <w:ind w:left="720" w:hanging="360"/>
      </w:pPr>
      <w:r>
        <w:rPr>
          <w:rFonts w:ascii="Calibri" w:hAnsi="Calibri"/>
          <w:b/>
          <w:color w:val="22233A"/>
          <w:sz w:val="21"/>
        </w:rPr>
        <w:t>Unificar o fornecedor de Aura.</w:t>
      </w:r>
      <w:r>
        <w:rPr>
          <w:rFonts w:ascii="Calibri" w:hAnsi="Calibri"/>
          <w:color w:val="22233A"/>
          <w:sz w:val="21"/>
        </w:rPr>
        <w:t xml:space="preserve"> Fazer dashboard e página dedicada consumirem o mesmo read model e o mesmo motor de regras. Remover a leitura legada direta ou isolá-la como compatibilidade explicitamente marcada.</w:t>
      </w:r>
    </w:p>
    <w:p>
      <w:pPr>
        <w:pStyle w:val="ListNumber"/>
        <w:spacing w:before="0" w:after="80" w:line="288" w:lineRule="auto"/>
        <w:ind w:left="720" w:hanging="360"/>
      </w:pPr>
      <w:r>
        <w:rPr>
          <w:rFonts w:ascii="Calibri" w:hAnsi="Calibri"/>
          <w:b/>
          <w:color w:val="22233A"/>
          <w:sz w:val="21"/>
        </w:rPr>
        <w:t>Eliminar o filtro frágil de seed.</w:t>
      </w:r>
      <w:r>
        <w:rPr>
          <w:rFonts w:ascii="Calibri" w:hAnsi="Calibri"/>
          <w:color w:val="22233A"/>
          <w:sz w:val="21"/>
        </w:rPr>
        <w:t xml:space="preserve"> Preferir uma coluna estruturada </w:t>
      </w:r>
      <w:r>
        <w:rPr>
          <w:rFonts w:ascii="Consolas" w:hAnsi="Consolas"/>
          <w:color w:val="6856C7"/>
          <w:sz w:val="18"/>
        </w:rPr>
        <w:t>source</w:t>
      </w:r>
      <w:r>
        <w:rPr>
          <w:rFonts w:ascii="Calibri" w:hAnsi="Calibri"/>
          <w:color w:val="22233A"/>
          <w:sz w:val="21"/>
        </w:rPr>
        <w:t>/</w:t>
      </w:r>
      <w:r>
        <w:rPr>
          <w:rFonts w:ascii="Consolas" w:hAnsi="Consolas"/>
          <w:color w:val="6856C7"/>
          <w:sz w:val="18"/>
        </w:rPr>
        <w:t>origin</w:t>
      </w:r>
      <w:r>
        <w:rPr>
          <w:rFonts w:ascii="Calibri" w:hAnsi="Calibri"/>
          <w:color w:val="22233A"/>
          <w:sz w:val="21"/>
        </w:rPr>
        <w:t xml:space="preserve"> com enum ou um contrato explícito de recomendação demonstrativa. Enquanto isso, ajustar o seed local para gravar </w:t>
      </w:r>
      <w:r>
        <w:rPr>
          <w:rFonts w:ascii="Consolas" w:hAnsi="Consolas"/>
          <w:color w:val="6856C7"/>
          <w:sz w:val="18"/>
        </w:rPr>
        <w:t>source: demo_seed</w:t>
      </w:r>
      <w:r>
        <w:rPr>
          <w:rFonts w:ascii="Calibri" w:hAnsi="Calibri"/>
          <w:color w:val="22233A"/>
          <w:sz w:val="21"/>
        </w:rPr>
        <w:t xml:space="preserve"> e o RPC para tratar </w:t>
      </w:r>
      <w:r>
        <w:rPr>
          <w:rFonts w:ascii="Consolas" w:hAnsi="Consolas"/>
          <w:color w:val="6856C7"/>
          <w:sz w:val="18"/>
        </w:rPr>
        <w:t>NULL</w:t>
      </w:r>
      <w:r>
        <w:rPr>
          <w:rFonts w:ascii="Calibri" w:hAnsi="Calibri"/>
          <w:color w:val="22233A"/>
          <w:sz w:val="21"/>
        </w:rPr>
        <w:t xml:space="preserve"> como não elegível, nunca como produtivo.</w:t>
      </w:r>
    </w:p>
    <w:p>
      <w:pPr>
        <w:pStyle w:val="ListNumber"/>
        <w:spacing w:before="0" w:after="80" w:line="288" w:lineRule="auto"/>
        <w:ind w:left="720" w:hanging="360"/>
      </w:pPr>
      <w:r>
        <w:rPr>
          <w:rFonts w:ascii="Calibri" w:hAnsi="Calibri"/>
          <w:b/>
          <w:color w:val="22233A"/>
          <w:sz w:val="21"/>
        </w:rPr>
        <w:t>Separar frescor por sinal.</w:t>
      </w:r>
      <w:r>
        <w:rPr>
          <w:rFonts w:ascii="Calibri" w:hAnsi="Calibri"/>
          <w:color w:val="22233A"/>
          <w:sz w:val="21"/>
        </w:rPr>
        <w:t xml:space="preserve"> Retornar metadados de atualização para agenda, reviews, sessões e recomendações persistidas.</w:t>
      </w:r>
    </w:p>
    <w:p>
      <w:pPr>
        <w:pStyle w:val="ListNumber"/>
        <w:spacing w:before="0" w:after="80" w:line="288" w:lineRule="auto"/>
        <w:ind w:left="720" w:hanging="360"/>
      </w:pPr>
      <w:r>
        <w:rPr>
          <w:rFonts w:ascii="Calibri" w:hAnsi="Calibri"/>
          <w:b/>
          <w:color w:val="22233A"/>
          <w:sz w:val="21"/>
        </w:rPr>
        <w:t>Publicar a definição da Aura na UI.</w:t>
      </w:r>
      <w:r>
        <w:rPr>
          <w:rFonts w:ascii="Calibri" w:hAnsi="Calibri"/>
          <w:color w:val="22233A"/>
          <w:sz w:val="21"/>
        </w:rPr>
        <w:t xml:space="preserve"> Explicar que é determinística, baseada no próprio histórico e sem leitura de conteúdo privado.</w:t>
      </w:r>
    </w:p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color w:val="14105A"/>
          <w:sz w:val="27"/>
        </w:rPr>
        <w:t>P1 — melhorar confiança e compreensão</w:t>
      </w:r>
    </w:p>
    <w:p>
      <w:pPr>
        <w:spacing w:after="20"/>
      </w:pPr>
    </w:p>
    <w:p>
      <w:pPr>
        <w:pStyle w:val="ListNumber"/>
        <w:spacing w:before="0" w:after="80" w:line="288" w:lineRule="auto"/>
        <w:ind w:left="720" w:hanging="360"/>
      </w:pPr>
      <w:r>
        <w:rPr>
          <w:rFonts w:ascii="Calibri" w:hAnsi="Calibri"/>
          <w:b/>
          <w:color w:val="22233A"/>
          <w:sz w:val="21"/>
        </w:rPr>
        <w:t>Trocar barras fixas por dados reais ou por um estado neutro claramente rotulado.</w:t>
      </w:r>
      <w:r>
        <w:rPr>
          <w:rFonts w:ascii="Calibri" w:hAnsi="Calibri"/>
          <w:color w:val="22233A"/>
          <w:sz w:val="21"/>
        </w:rPr>
        <w:t xml:space="preserve"> Se não houver série histórica, usar uma ilustração sem aparência de gráfico ou um texto acessível “sem série disponível”.</w:t>
      </w:r>
    </w:p>
    <w:p>
      <w:pPr>
        <w:pStyle w:val="ListNumber"/>
        <w:spacing w:before="0" w:after="80" w:line="288" w:lineRule="auto"/>
        <w:ind w:left="720" w:hanging="360"/>
      </w:pPr>
      <w:r>
        <w:rPr>
          <w:rFonts w:ascii="Calibri" w:hAnsi="Calibri"/>
          <w:b/>
          <w:color w:val="22233A"/>
          <w:sz w:val="21"/>
        </w:rPr>
        <w:t>Reformular KPIs redundantes.</w:t>
      </w:r>
      <w:r>
        <w:rPr>
          <w:rFonts w:ascii="Calibri" w:hAnsi="Calibri"/>
          <w:color w:val="22233A"/>
          <w:sz w:val="21"/>
        </w:rPr>
        <w:t xml:space="preserve"> Substituir contagens de cartões por indicadores úteis: sinais prontos, sinais em formação, recomendações abertas, recomendações dispensadas no período e última atualização.</w:t>
      </w:r>
    </w:p>
    <w:p>
      <w:pPr>
        <w:pStyle w:val="ListNumber"/>
        <w:spacing w:before="0" w:after="80" w:line="288" w:lineRule="auto"/>
        <w:ind w:left="720" w:hanging="360"/>
      </w:pPr>
      <w:r>
        <w:rPr>
          <w:rFonts w:ascii="Calibri" w:hAnsi="Calibri"/>
          <w:b/>
          <w:color w:val="22233A"/>
          <w:sz w:val="21"/>
        </w:rPr>
        <w:t>Exibir evidência real.</w:t>
      </w:r>
      <w:r>
        <w:rPr>
          <w:rFonts w:ascii="Calibri" w:hAnsi="Calibri"/>
          <w:color w:val="22233A"/>
          <w:sz w:val="21"/>
        </w:rPr>
        <w:t xml:space="preserve"> Mapear </w:t>
      </w:r>
      <w:r>
        <w:rPr>
          <w:rFonts w:ascii="Consolas" w:hAnsi="Consolas"/>
          <w:color w:val="6856C7"/>
          <w:sz w:val="18"/>
        </w:rPr>
        <w:t>evidence</w:t>
      </w:r>
      <w:r>
        <w:rPr>
          <w:rFonts w:ascii="Calibri" w:hAnsi="Calibri"/>
          <w:color w:val="22233A"/>
          <w:sz w:val="21"/>
        </w:rPr>
        <w:t xml:space="preserve"> persistido para a UI e registrar a fórmula/escopo de cada regra.</w:t>
      </w:r>
    </w:p>
    <w:p>
      <w:pPr>
        <w:pStyle w:val="ListNumber"/>
        <w:spacing w:before="0" w:after="80" w:line="288" w:lineRule="auto"/>
        <w:ind w:left="720" w:hanging="360"/>
      </w:pPr>
      <w:r>
        <w:rPr>
          <w:rFonts w:ascii="Calibri" w:hAnsi="Calibri"/>
          <w:b/>
          <w:color w:val="22233A"/>
          <w:sz w:val="21"/>
        </w:rPr>
        <w:t>Separar o escopo histórico do operacional.</w:t>
      </w:r>
      <w:r>
        <w:rPr>
          <w:rFonts w:ascii="Calibri" w:hAnsi="Calibri"/>
          <w:color w:val="22233A"/>
          <w:sz w:val="21"/>
        </w:rPr>
        <w:t xml:space="preserve"> Renomear cards para “Últimos 30/90 dias completos”, “Próximos 14 dias” e “Total pendente” conforme a fonte.</w:t>
      </w:r>
    </w:p>
    <w:p>
      <w:pPr>
        <w:pStyle w:val="ListNumber"/>
        <w:spacing w:before="0" w:after="80" w:line="288" w:lineRule="auto"/>
        <w:ind w:left="720" w:hanging="360"/>
      </w:pPr>
      <w:r>
        <w:rPr>
          <w:rFonts w:ascii="Calibri" w:hAnsi="Calibri"/>
          <w:b/>
          <w:color w:val="22233A"/>
          <w:sz w:val="21"/>
        </w:rPr>
        <w:t>Adicionar tooltips ou detalhes acessíveis.</w:t>
      </w:r>
      <w:r>
        <w:rPr>
          <w:rFonts w:ascii="Calibri" w:hAnsi="Calibri"/>
          <w:color w:val="22233A"/>
          <w:sz w:val="21"/>
        </w:rPr>
        <w:t xml:space="preserve"> Explicar denominadores, estados, período anterior e amostra mínima.</w:t>
      </w:r>
    </w:p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color w:val="14105A"/>
          <w:sz w:val="27"/>
        </w:rPr>
        <w:t>P2 — amadurecer o motor</w:t>
      </w:r>
    </w:p>
    <w:p>
      <w:pPr>
        <w:spacing w:after="20"/>
      </w:pPr>
    </w:p>
    <w:p>
      <w:pPr>
        <w:pStyle w:val="ListNumber"/>
        <w:spacing w:before="0" w:after="80" w:line="288" w:lineRule="auto"/>
        <w:ind w:left="720" w:hanging="360"/>
      </w:pPr>
      <w:r>
        <w:rPr>
          <w:rFonts w:ascii="Calibri" w:hAnsi="Calibri"/>
          <w:b/>
          <w:color w:val="22233A"/>
          <w:sz w:val="21"/>
        </w:rPr>
        <w:t>Adicionar limiar de magnitude e histerese.</w:t>
      </w:r>
      <w:r>
        <w:rPr>
          <w:rFonts w:ascii="Calibri" w:hAnsi="Calibri"/>
          <w:color w:val="22233A"/>
          <w:sz w:val="21"/>
        </w:rPr>
        <w:t xml:space="preserve"> Evitar que uma pequena variação arredondada gere alerta recorrente.</w:t>
      </w:r>
    </w:p>
    <w:p>
      <w:pPr>
        <w:pStyle w:val="ListNumber"/>
        <w:spacing w:before="0" w:after="80" w:line="288" w:lineRule="auto"/>
        <w:ind w:left="720" w:hanging="360"/>
      </w:pPr>
      <w:r>
        <w:rPr>
          <w:rFonts w:ascii="Calibri" w:hAnsi="Calibri"/>
          <w:b/>
          <w:color w:val="22233A"/>
          <w:sz w:val="21"/>
        </w:rPr>
        <w:t>Adicionar cooldown e retenção de dismissals.</w:t>
      </w:r>
      <w:r>
        <w:rPr>
          <w:rFonts w:ascii="Calibri" w:hAnsi="Calibri"/>
          <w:color w:val="22233A"/>
          <w:sz w:val="21"/>
        </w:rPr>
        <w:t xml:space="preserve"> Evitar repetição excessiva e controlar crescimento histórico da tabela.</w:t>
      </w:r>
    </w:p>
    <w:p>
      <w:pPr>
        <w:pStyle w:val="ListNumber"/>
        <w:spacing w:before="0" w:after="80" w:line="288" w:lineRule="auto"/>
        <w:ind w:left="720" w:hanging="360"/>
      </w:pPr>
      <w:r>
        <w:rPr>
          <w:rFonts w:ascii="Calibri" w:hAnsi="Calibri"/>
          <w:b/>
          <w:color w:val="22233A"/>
          <w:sz w:val="21"/>
        </w:rPr>
        <w:t>Instrumentar resultados da recomendação.</w:t>
      </w:r>
      <w:r>
        <w:rPr>
          <w:rFonts w:ascii="Calibri" w:hAnsi="Calibri"/>
          <w:color w:val="22233A"/>
          <w:sz w:val="21"/>
        </w:rPr>
        <w:t xml:space="preserve"> Medir visualização, abertura da área, ação iniciada e ação concluída, sem armazenar conteúdo sensível.</w:t>
      </w:r>
    </w:p>
    <w:p>
      <w:pPr>
        <w:pStyle w:val="ListNumber"/>
        <w:spacing w:before="0" w:after="80" w:line="288" w:lineRule="auto"/>
        <w:ind w:left="720" w:hanging="360"/>
      </w:pPr>
      <w:r>
        <w:rPr>
          <w:rFonts w:ascii="Calibri" w:hAnsi="Calibri"/>
          <w:b/>
          <w:color w:val="22233A"/>
          <w:sz w:val="21"/>
        </w:rPr>
        <w:t>Criar matriz de regras.</w:t>
      </w:r>
      <w:r>
        <w:rPr>
          <w:rFonts w:ascii="Calibri" w:hAnsi="Calibri"/>
          <w:color w:val="22233A"/>
          <w:sz w:val="21"/>
        </w:rPr>
        <w:t xml:space="preserve"> Para cada regra: versão, entrada, fórmula, amostra, risco, copy, rota, exclusões, cooldown e teste de regressão.</w:t>
      </w:r>
    </w:p>
    <w:p>
      <w:pPr>
        <w:pStyle w:val="ListNumber"/>
        <w:spacing w:before="0" w:after="80" w:line="288" w:lineRule="auto"/>
        <w:ind w:left="720" w:hanging="360"/>
      </w:pPr>
      <w:r>
        <w:rPr>
          <w:rFonts w:ascii="Calibri" w:hAnsi="Calibri"/>
          <w:b/>
          <w:color w:val="22233A"/>
          <w:sz w:val="21"/>
        </w:rPr>
        <w:t>Distinguir recomendações calculadas de recomendações persistidas.</w:t>
      </w:r>
      <w:r>
        <w:rPr>
          <w:rFonts w:ascii="Calibri" w:hAnsi="Calibri"/>
          <w:color w:val="22233A"/>
          <w:sz w:val="21"/>
        </w:rPr>
        <w:t xml:space="preserve"> A UI deve informar se uma recomendação veio de regra ao vivo ou de uma recomendação registrada por pipeline.</w:t>
      </w:r>
    </w:p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color w:val="14105A"/>
          <w:sz w:val="27"/>
        </w:rPr>
        <w:t>P3 — preparação para homologação</w:t>
      </w:r>
    </w:p>
    <w:p>
      <w:pPr>
        <w:spacing w:after="20"/>
      </w:pPr>
    </w:p>
    <w:p>
      <w:pPr>
        <w:pStyle w:val="ListNumber"/>
        <w:spacing w:before="0" w:after="80" w:line="288" w:lineRule="auto"/>
        <w:ind w:left="720" w:hanging="360"/>
      </w:pPr>
      <w:r>
        <w:rPr>
          <w:rFonts w:ascii="Calibri" w:hAnsi="Calibri"/>
          <w:b/>
          <w:color w:val="22233A"/>
          <w:sz w:val="21"/>
        </w:rPr>
        <w:t>Rodar cenário autenticado completo em HML.</w:t>
      </w:r>
      <w:r>
        <w:rPr>
          <w:rFonts w:ascii="Calibri" w:hAnsi="Calibri"/>
          <w:color w:val="22233A"/>
          <w:sz w:val="21"/>
        </w:rPr>
        <w:t xml:space="preserve"> Premium Plus com dados reais de booking, reviews e agenda.</w:t>
      </w:r>
    </w:p>
    <w:p>
      <w:pPr>
        <w:pStyle w:val="ListNumber"/>
        <w:spacing w:before="0" w:after="80" w:line="288" w:lineRule="auto"/>
        <w:ind w:left="720" w:hanging="360"/>
      </w:pPr>
      <w:r>
        <w:rPr>
          <w:rFonts w:ascii="Calibri" w:hAnsi="Calibri"/>
          <w:b/>
          <w:color w:val="22233A"/>
          <w:sz w:val="21"/>
        </w:rPr>
        <w:t>Validar Free/Premium/Premium Plus.</w:t>
      </w:r>
      <w:r>
        <w:rPr>
          <w:rFonts w:ascii="Calibri" w:hAnsi="Calibri"/>
          <w:color w:val="22233A"/>
          <w:sz w:val="21"/>
        </w:rPr>
        <w:t xml:space="preserve"> Confirmar que o acesso, bloqueio e mensagens correspondem aos planos atuais.</w:t>
      </w:r>
    </w:p>
    <w:p>
      <w:pPr>
        <w:pStyle w:val="ListNumber"/>
        <w:spacing w:before="0" w:after="80" w:line="288" w:lineRule="auto"/>
        <w:ind w:left="720" w:hanging="360"/>
      </w:pPr>
      <w:r>
        <w:rPr>
          <w:rFonts w:ascii="Calibri" w:hAnsi="Calibri"/>
          <w:b/>
          <w:color w:val="22233A"/>
          <w:sz w:val="21"/>
        </w:rPr>
        <w:t>Testar no mínimo 1440x900, 1024x768, 390x844 e 360x800.</w:t>
      </w:r>
      <w:r>
        <w:rPr>
          <w:rFonts w:ascii="Calibri" w:hAnsi="Calibri"/>
          <w:color w:val="22233A"/>
          <w:sz w:val="21"/>
        </w:rPr>
        <w:t xml:space="preserve"> Incluir foco, teclado, zoom 200%, erro, vazio, amostra insuficiente e dismiss.</w:t>
      </w:r>
    </w:p>
    <w:p>
      <w:pPr>
        <w:pStyle w:val="ListNumber"/>
        <w:spacing w:before="0" w:after="80" w:line="288" w:lineRule="auto"/>
        <w:ind w:left="720" w:hanging="360"/>
      </w:pPr>
      <w:r>
        <w:rPr>
          <w:rFonts w:ascii="Calibri" w:hAnsi="Calibri"/>
          <w:b/>
          <w:color w:val="22233A"/>
          <w:sz w:val="21"/>
        </w:rPr>
        <w:t>Reconciliar documentação.</w:t>
      </w:r>
      <w:r>
        <w:rPr>
          <w:rFonts w:ascii="Calibri" w:hAnsi="Calibri"/>
          <w:color w:val="22233A"/>
          <w:sz w:val="21"/>
        </w:rPr>
        <w:t xml:space="preserve"> Atualizar mapa de integração e skill local quando dashboard, seed ou contrato de evidência forem corrigidos.</w:t>
      </w:r>
    </w:p>
    <w:p>
      <w:pPr>
        <w:spacing w:after="20"/>
      </w:pPr>
    </w:p>
    <w:p>
      <w:pPr>
        <w:pStyle w:val="Heading1"/>
        <w:keepNext/>
        <w:pageBreakBefore w:val="0"/>
      </w:pPr>
      <w:r>
        <w:rPr>
          <w:rFonts w:ascii="Calibri" w:hAnsi="Calibri"/>
          <w:b/>
          <w:color w:val="14105A"/>
          <w:sz w:val="34"/>
        </w:rPr>
        <w:t>12. Plano de validação recomendado</w:t>
      </w:r>
    </w:p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color w:val="14105A"/>
          <w:sz w:val="27"/>
        </w:rPr>
        <w:t>Banco e segurança</w:t>
      </w:r>
    </w:p>
    <w:p>
      <w:pPr>
        <w:spacing w:after="20"/>
      </w:pP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validar execução do RPC com terapeuta Premium Plus;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negar Free, Premium, suspenso e rejeitado;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garantir que o resultado não contenha IDs de paciente, booking individual ou texto privado;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 xml:space="preserve">validar que percentuais abaixo de 10 retornam </w:t>
      </w:r>
      <w:r>
        <w:rPr>
          <w:rFonts w:ascii="Consolas" w:hAnsi="Consolas"/>
          <w:color w:val="6856C7"/>
          <w:sz w:val="18"/>
        </w:rPr>
        <w:t>null</w:t>
      </w:r>
      <w:r>
        <w:rPr>
          <w:rFonts w:ascii="Calibri" w:hAnsi="Calibri"/>
          <w:color w:val="22233A"/>
          <w:sz w:val="21"/>
        </w:rPr>
        <w:t>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validar que seed local não aparece como recomendação produtiva;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validar expiração de recomendação;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validar idempotência de dismiss com o mesmo request;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validar isolamento RLS entre dois terapeutas.</w:t>
      </w:r>
    </w:p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color w:val="14105A"/>
          <w:sz w:val="27"/>
        </w:rPr>
        <w:t>Regras</w:t>
      </w:r>
    </w:p>
    <w:p>
      <w:pPr>
        <w:spacing w:after="20"/>
      </w:pP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amostras 0, 9 e 10;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direção estável, alta e queda;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período anterior sem base;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cancelamento, ausência e retorno simultaneamente elegíveis;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agenda sem horário nos próximos 14 dias;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reviews sem resposta e após resposta;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dispensa no período atual e reaparecimento no próximo período.</w:t>
      </w:r>
    </w:p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color w:val="14105A"/>
          <w:sz w:val="27"/>
        </w:rPr>
        <w:t>Interface</w:t>
      </w:r>
    </w:p>
    <w:p>
      <w:pPr>
        <w:spacing w:after="20"/>
      </w:pP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alternar 30/90 e confirmar quais números realmente mudam;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conferir texto de janela de cada bloco;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garantir que barras sem série não pareçam dados;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confirmar que o título renderizado é “Assessora Aura”;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confirmar ação de cada cartão;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confirmar que erro de RPC não vira zero nem fallback demonstrativo;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alibri" w:hAnsi="Calibri"/>
          <w:color w:val="22233A"/>
          <w:sz w:val="21"/>
        </w:rPr>
        <w:t>confirmar que a tela funciona sem overflow horizontal.</w:t>
      </w:r>
    </w:p>
    <w:p>
      <w:pPr>
        <w:spacing w:after="20"/>
      </w:pPr>
    </w:p>
    <w:p>
      <w:pPr>
        <w:pStyle w:val="Heading1"/>
        <w:keepNext/>
        <w:pageBreakBefore w:val="0"/>
      </w:pPr>
      <w:r>
        <w:rPr>
          <w:rFonts w:ascii="Calibri" w:hAnsi="Calibri"/>
          <w:b/>
          <w:color w:val="14105A"/>
          <w:sz w:val="34"/>
        </w:rPr>
        <w:t>13. Validações executadas nesta análise</w:t>
      </w:r>
    </w:p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E8EEF5" w:val="clear"/>
          </w:tcPr>
          <w:p>
            <w:pPr>
              <w:spacing w:before="0" w:after="0" w:line="259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4105A"/>
                <w:sz w:val="18"/>
              </w:rPr>
              <w:t>Comando/checagem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E8EEF5" w:val="clear"/>
          </w:tcPr>
          <w:p>
            <w:pPr>
              <w:spacing w:before="0" w:after="0" w:line="259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4105A"/>
                <w:sz w:val="18"/>
              </w:rPr>
              <w:t>Resultado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8"/>
              </w:rPr>
              <w:t>Testes Aura: regras + página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22233A"/>
                <w:sz w:val="18"/>
              </w:rPr>
              <w:t>PASS</w:t>
            </w:r>
            <w:r>
              <w:rPr>
                <w:rFonts w:ascii="Calibri" w:hAnsi="Calibri"/>
                <w:color w:val="22233A"/>
                <w:sz w:val="18"/>
              </w:rPr>
              <w:t xml:space="preserve"> — 2 arquivos, 5 testes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6856C7"/>
                <w:sz w:val="18"/>
              </w:rPr>
              <w:t>npm.cmd run typecheck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22233A"/>
                <w:sz w:val="18"/>
              </w:rPr>
              <w:t>PASS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6856C7"/>
                <w:sz w:val="18"/>
              </w:rPr>
              <w:t>npm.cmd run lint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22233A"/>
                <w:sz w:val="18"/>
              </w:rPr>
              <w:t>PASS</w:t>
            </w:r>
            <w:r>
              <w:rPr>
                <w:rFonts w:ascii="Calibri" w:hAnsi="Calibri"/>
                <w:color w:val="22233A"/>
                <w:sz w:val="18"/>
              </w:rPr>
              <w:t xml:space="preserve"> — política visual, online-only e ESLint sem erros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/>
                <w:color w:val="6856C7"/>
                <w:sz w:val="18"/>
              </w:rPr>
              <w:t>npx.cmd supabase status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22233A"/>
                <w:sz w:val="18"/>
              </w:rPr>
              <w:t>PASS</w:t>
            </w:r>
            <w:r>
              <w:rPr>
                <w:rFonts w:ascii="Calibri" w:hAnsi="Calibri"/>
                <w:color w:val="22233A"/>
                <w:sz w:val="18"/>
              </w:rPr>
              <w:t xml:space="preserve"> — serviços locais consultáveis; nenhum ambiente remoto foi alterado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8"/>
              </w:rPr>
              <w:t>Consulta read-only ao Postgres local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22233A"/>
                <w:sz w:val="18"/>
              </w:rPr>
              <w:t>PASS</w:t>
            </w:r>
            <w:r>
              <w:rPr>
                <w:rFonts w:ascii="Calibri" w:hAnsi="Calibri"/>
                <w:color w:val="22233A"/>
                <w:sz w:val="18"/>
              </w:rPr>
              <w:t xml:space="preserve"> — RPC 30/90 executado para perfil de teste, sem alteração de dados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8"/>
              </w:rPr>
              <w:t>Navegação local autenticada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22233A"/>
                <w:sz w:val="18"/>
              </w:rPr>
              <w:t>LIMITADA</w:t>
            </w:r>
            <w:r>
              <w:rPr>
                <w:rFonts w:ascii="Calibri" w:hAnsi="Calibri"/>
                <w:color w:val="22233A"/>
                <w:sz w:val="18"/>
              </w:rPr>
              <w:t xml:space="preserve"> — sem credenciais inseridas; a rota redirecionou para login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22233A"/>
                <w:sz w:val="18"/>
              </w:rPr>
              <w:t>HML/produção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22233A"/>
                <w:sz w:val="18"/>
              </w:rPr>
              <w:t>NÃO EXECUTADO</w:t>
            </w:r>
          </w:p>
        </w:tc>
      </w:tr>
    </w:tbl>
    <w:p>
      <w:pPr>
        <w:spacing w:after="40"/>
      </w:pPr>
    </w:p>
    <w:p>
      <w:pPr>
        <w:spacing w:after="20"/>
      </w:pPr>
    </w:p>
    <w:p>
      <w:pPr>
        <w:pStyle w:val="Heading1"/>
        <w:keepNext/>
        <w:pageBreakBefore w:val="0"/>
      </w:pPr>
      <w:r>
        <w:rPr>
          <w:rFonts w:ascii="Calibri" w:hAnsi="Calibri"/>
          <w:b/>
          <w:color w:val="14105A"/>
          <w:sz w:val="34"/>
        </w:rPr>
        <w:t>14. Fontes de evidência no projeto</w:t>
      </w:r>
    </w:p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color w:val="14105A"/>
          <w:sz w:val="27"/>
        </w:rPr>
        <w:t>Produto e nomenclatura</w:t>
      </w:r>
    </w:p>
    <w:p>
      <w:pPr>
        <w:spacing w:after="20"/>
      </w:pPr>
    </w:p>
    <w:p>
      <w:pPr>
        <w:pStyle w:val="ListBullet"/>
        <w:spacing w:before="0" w:after="80" w:line="288" w:lineRule="auto"/>
        <w:ind w:left="540" w:hanging="271"/>
      </w:pPr>
      <w:r>
        <w:rPr>
          <w:rFonts w:ascii="Consolas" w:hAnsi="Consolas"/>
          <w:color w:val="6856C7"/>
          <w:sz w:val="18"/>
        </w:rPr>
        <w:t>AGENTS.md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onsolas" w:hAnsi="Consolas"/>
          <w:color w:val="6856C7"/>
          <w:sz w:val="18"/>
        </w:rPr>
        <w:t>skills/therapist-aura/SKILL.md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onsolas" w:hAnsi="Consolas"/>
          <w:color w:val="6856C7"/>
          <w:sz w:val="18"/>
        </w:rPr>
        <w:t>docs/product/routes-map.md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onsolas" w:hAnsi="Consolas"/>
          <w:color w:val="6856C7"/>
          <w:sz w:val="18"/>
        </w:rPr>
        <w:t>docs/product/integration-map.md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onsolas" w:hAnsi="Consolas"/>
          <w:color w:val="6856C7"/>
          <w:sz w:val="18"/>
        </w:rPr>
        <w:t>docs/architecture/therapist-metrics-reports-strategy.md</w:t>
      </w:r>
    </w:p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color w:val="14105A"/>
          <w:sz w:val="27"/>
        </w:rPr>
        <w:t>Implementação da página</w:t>
      </w:r>
    </w:p>
    <w:p>
      <w:pPr>
        <w:spacing w:after="20"/>
      </w:pPr>
    </w:p>
    <w:p>
      <w:pPr>
        <w:pStyle w:val="ListBullet"/>
        <w:spacing w:before="0" w:after="80" w:line="288" w:lineRule="auto"/>
        <w:ind w:left="540" w:hanging="271"/>
      </w:pPr>
      <w:r>
        <w:rPr>
          <w:rFonts w:ascii="Consolas" w:hAnsi="Consolas"/>
          <w:color w:val="6856C7"/>
          <w:sz w:val="18"/>
        </w:rPr>
        <w:t>src/app/(therapist)/terapeuta/assessor-ia/page.tsx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onsolas" w:hAnsi="Consolas"/>
          <w:color w:val="6856C7"/>
          <w:sz w:val="18"/>
        </w:rPr>
        <w:t>src/app/(therapist)/terapeuta/assessor-ia/loading.tsx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onsolas" w:hAnsi="Consolas"/>
          <w:color w:val="6856C7"/>
          <w:sz w:val="18"/>
        </w:rPr>
        <w:t>src/features/therapist-aura/components/therapist-aura-page.tsx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onsolas" w:hAnsi="Consolas"/>
          <w:color w:val="6856C7"/>
          <w:sz w:val="18"/>
        </w:rPr>
        <w:t>src/features/therapist-aura/therapist-aura.types.ts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onsolas" w:hAnsi="Consolas"/>
          <w:color w:val="6856C7"/>
          <w:sz w:val="18"/>
        </w:rPr>
        <w:t>src/features/therapist-aura/therapist-aura.mappers.ts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onsolas" w:hAnsi="Consolas"/>
          <w:color w:val="6856C7"/>
          <w:sz w:val="18"/>
        </w:rPr>
        <w:t>src/features/therapist-aura/therapist-aura.service.ts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onsolas" w:hAnsi="Consolas"/>
          <w:color w:val="6856C7"/>
          <w:sz w:val="18"/>
        </w:rPr>
        <w:t>src/features/therapist-aura/therapist-aura.queries.ts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onsolas" w:hAnsi="Consolas"/>
          <w:color w:val="6856C7"/>
          <w:sz w:val="18"/>
        </w:rPr>
        <w:t>src/features/therapist-aura/therapist-aura.rules.ts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onsolas" w:hAnsi="Consolas"/>
          <w:color w:val="6856C7"/>
          <w:sz w:val="18"/>
        </w:rPr>
        <w:t>src/features/therapist-aura/therapist-aura.actions.ts</w:t>
      </w:r>
    </w:p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color w:val="14105A"/>
          <w:sz w:val="27"/>
        </w:rPr>
        <w:t>Banco e fixtures</w:t>
      </w:r>
    </w:p>
    <w:p>
      <w:pPr>
        <w:spacing w:after="20"/>
      </w:pPr>
    </w:p>
    <w:p>
      <w:pPr>
        <w:pStyle w:val="ListBullet"/>
        <w:spacing w:before="0" w:after="80" w:line="288" w:lineRule="auto"/>
        <w:ind w:left="540" w:hanging="271"/>
      </w:pPr>
      <w:r>
        <w:rPr>
          <w:rFonts w:ascii="Consolas" w:hAnsi="Consolas"/>
          <w:color w:val="6856C7"/>
          <w:sz w:val="18"/>
        </w:rPr>
        <w:t>supabase/migrations/20260731173000_aura_mvp_deterministic_signals.sql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onsolas" w:hAnsi="Consolas"/>
          <w:color w:val="6856C7"/>
          <w:sz w:val="18"/>
        </w:rPr>
        <w:t>supabase/migrations/20260728200000_therapist_metrics_mtr1_mtr2.sql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onsolas" w:hAnsi="Consolas"/>
          <w:color w:val="6856C7"/>
          <w:sz w:val="18"/>
        </w:rPr>
        <w:t>supabase/seeds/local-test-data.sql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onsolas" w:hAnsi="Consolas"/>
          <w:color w:val="6856C7"/>
          <w:sz w:val="18"/>
        </w:rPr>
        <w:t>supabase/seed.sql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onsolas" w:hAnsi="Consolas"/>
          <w:color w:val="6856C7"/>
          <w:sz w:val="18"/>
        </w:rPr>
        <w:t>src/features/therapist-dashboard/therapist-dashboard.queries.ts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onsolas" w:hAnsi="Consolas"/>
          <w:color w:val="6856C7"/>
          <w:sz w:val="18"/>
        </w:rPr>
        <w:t>src/features/therapist-dashboard/therapist-dashboard.mappers.ts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onsolas" w:hAnsi="Consolas"/>
          <w:color w:val="6856C7"/>
          <w:sz w:val="18"/>
        </w:rPr>
        <w:t>src/features/therapist-dashboard/therapist-dashboard.service.ts</w:t>
      </w:r>
    </w:p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color w:val="14105A"/>
          <w:sz w:val="27"/>
        </w:rPr>
        <w:t>Testes</w:t>
      </w:r>
    </w:p>
    <w:p>
      <w:pPr>
        <w:spacing w:after="20"/>
      </w:pPr>
    </w:p>
    <w:p>
      <w:pPr>
        <w:pStyle w:val="ListBullet"/>
        <w:spacing w:before="0" w:after="80" w:line="288" w:lineRule="auto"/>
        <w:ind w:left="540" w:hanging="271"/>
      </w:pPr>
      <w:r>
        <w:rPr>
          <w:rFonts w:ascii="Consolas" w:hAnsi="Consolas"/>
          <w:color w:val="6856C7"/>
          <w:sz w:val="18"/>
        </w:rPr>
        <w:t>src/features/therapist-aura/therapist-aura.rules.test.ts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Consolas" w:hAnsi="Consolas"/>
          <w:color w:val="6856C7"/>
          <w:sz w:val="18"/>
        </w:rPr>
        <w:t>src/features/therapist-aura/components/therapist-aura-page.test.tsx</w:t>
      </w:r>
    </w:p>
    <w:p>
      <w:pPr>
        <w:spacing w:after="20"/>
      </w:pPr>
    </w:p>
    <w:p>
      <w:pPr>
        <w:pStyle w:val="Heading1"/>
        <w:keepNext/>
        <w:pageBreakBefore w:val="0"/>
      </w:pPr>
      <w:r>
        <w:rPr>
          <w:rFonts w:ascii="Calibri" w:hAnsi="Calibri"/>
          <w:b/>
          <w:color w:val="14105A"/>
          <w:sz w:val="34"/>
        </w:rPr>
        <w:t>15. Conclusão final</w:t>
      </w:r>
    </w:p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color w:val="22233A"/>
          <w:sz w:val="21"/>
        </w:rPr>
        <w:t xml:space="preserve">A Assessora Aura tem uma base técnica responsável: usa dados operacionais agregados, protege amostras pequenas, limita o acesso por plano, evita dados clínicos e oferece ações manuais. Isso é suficiente para chamar o módulo de </w:t>
      </w:r>
      <w:r>
        <w:rPr>
          <w:rFonts w:ascii="Calibri" w:hAnsi="Calibri"/>
          <w:b/>
          <w:color w:val="22233A"/>
          <w:sz w:val="21"/>
        </w:rPr>
        <w:t>MVP funcional de recomendações determinísticas</w:t>
      </w:r>
      <w:r>
        <w:rPr>
          <w:rFonts w:ascii="Calibri" w:hAnsi="Calibri"/>
          <w:color w:val="22233A"/>
          <w:sz w:val="21"/>
        </w:rPr>
        <w:t>.</w:t>
      </w:r>
    </w:p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color w:val="22233A"/>
          <w:sz w:val="21"/>
        </w:rPr>
        <w:t>Ainda não é suficiente para declarar que a Aura está plenamente pronta, real e homogênea em todos os ambientes. O principal risco não está nas cinco regras em si, mas na coexistência de dois caminhos de recomendação, na fragilidade do marcador de seed, na mistura de janelas de tempo e na falta de evidência visível para o terapeuta.</w:t>
      </w:r>
    </w:p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color w:val="22233A"/>
          <w:sz w:val="21"/>
        </w:rPr>
        <w:t>O próximo marco correto é unificar o contrato, corrigir a origem das recomendações demonstrativas, explicitar frescor e evidência na interface e só então executar a homologação autenticada em HML. Até esse marco, a conclusão deve ser registrada como:</w:t>
      </w:r>
    </w:p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1EEFF" w:val="clear"/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color w:val="14105A"/>
                <w:sz w:val="21"/>
              </w:rPr>
              <w:t>Localmente compatível e testada; HML/produção ainda não comprovadas.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b w:val="0"/>
        <w:color w:val="66677A"/>
        <w:sz w:val="17"/>
      </w:rPr>
      <w:t xml:space="preserve">Assessora Aura  •  24/08/2026  •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/>
        <w:b/>
        <w:color w:val="66677A"/>
        <w:sz w:val="17"/>
      </w:rPr>
      <w:t>TERAPEUTA EU SOU  |  DIAGNÓSTICO DE PRODUTO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3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4105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6856C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6856C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Diagnóstico completo da Assessora Aura</dc:title>
  <dc:subject>Auditoria de dados, recomendações e evolução temporal</dc:subject>
  <dc:creator>Terapeuta Eu Sou</dc:creator>
  <cp:keywords/>
  <dc:description>Diagnóstico local produzido em 24/08/2026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