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12EA0"/>
          <w:sz w:val="44"/>
        </w:rPr>
        <w:t>TATÁ BRACHO | 7720</w:t>
      </w:r>
    </w:p>
    <w:p>
      <w:pPr>
        <w:jc w:val="center"/>
      </w:pPr>
      <w:r>
        <w:rPr>
          <w:b/>
          <w:color w:val="011555"/>
          <w:sz w:val="30"/>
        </w:rPr>
        <w:t>SITE INSTITUCIONAL - MASTER ATUALIZADO</w:t>
      </w:r>
    </w:p>
    <w:p>
      <w:pPr>
        <w:jc w:val="center"/>
        <w:pBdr>
          <w:bottom w:val="single" w:sz="12" w:space="1" w:color="012EA0"/>
        </w:pBdr>
      </w:pPr>
      <w:r>
        <w:rPr>
          <w:i/>
          <w:color w:val="0443CA"/>
          <w:sz w:val="20"/>
        </w:rPr>
        <w:t>Documento de especificação para execução</w:t>
      </w:r>
    </w:p>
    <w:p>
      <w:r>
        <w:rPr>
          <w:b/>
        </w:rPr>
        <w:t xml:space="preserve">Objetivo deste arquivo. </w:t>
      </w:r>
      <w:r>
        <w:t>Servir como fonte única de verdade para a implementação do site institucional atualizado da Tatá Bracho. Esta versão substitui a estrutura anterior e incorpora a remoção da seção Parceiros e a nova identidade visual exclusivamente azul.</w:t>
      </w:r>
    </w:p>
    <w:p>
      <w:pPr>
        <w:pStyle w:val="Heading1"/>
      </w:pPr>
      <w:r>
        <w:t>1. Dados oficiais da candidatura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shd w:fill="01155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Campo</w:t>
            </w:r>
          </w:p>
        </w:tc>
        <w:tc>
          <w:tcPr>
            <w:tcW w:type="dxa" w:w="5184"/>
            <w:shd w:fill="01155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Valor</w:t>
            </w:r>
          </w:p>
        </w:tc>
      </w:tr>
      <w:tr>
        <w:tc>
          <w:tcPr>
            <w:tcW w:type="dxa" w:w="5184"/>
            <w:vAlign w:val="center"/>
          </w:tcPr>
          <w:p>
            <w:r>
              <w:t>Nome completo</w:t>
            </w:r>
          </w:p>
        </w:tc>
        <w:tc>
          <w:tcPr>
            <w:tcW w:type="dxa" w:w="5184"/>
            <w:vAlign w:val="center"/>
          </w:tcPr>
          <w:p>
            <w:r>
              <w:t>Taciany Pereira dos Santos</w:t>
            </w:r>
          </w:p>
        </w:tc>
      </w:tr>
      <w:tr>
        <w:tc>
          <w:tcPr>
            <w:tcW w:type="dxa" w:w="5184"/>
            <w:vAlign w:val="center"/>
          </w:tcPr>
          <w:p>
            <w:r>
              <w:t>Nome de urna</w:t>
            </w:r>
          </w:p>
        </w:tc>
        <w:tc>
          <w:tcPr>
            <w:tcW w:type="dxa" w:w="5184"/>
            <w:vAlign w:val="center"/>
          </w:tcPr>
          <w:p>
            <w:r>
              <w:t>Tatá Bracho</w:t>
            </w:r>
          </w:p>
        </w:tc>
      </w:tr>
      <w:tr>
        <w:tc>
          <w:tcPr>
            <w:tcW w:type="dxa" w:w="5184"/>
            <w:vAlign w:val="center"/>
          </w:tcPr>
          <w:p>
            <w:r>
              <w:t>Cargo</w:t>
            </w:r>
          </w:p>
        </w:tc>
        <w:tc>
          <w:tcPr>
            <w:tcW w:type="dxa" w:w="5184"/>
            <w:vAlign w:val="center"/>
          </w:tcPr>
          <w:p>
            <w:r>
              <w:t>Deputada Federal</w:t>
            </w:r>
          </w:p>
        </w:tc>
      </w:tr>
      <w:tr>
        <w:tc>
          <w:tcPr>
            <w:tcW w:type="dxa" w:w="5184"/>
            <w:vAlign w:val="center"/>
          </w:tcPr>
          <w:p>
            <w:r>
              <w:t>Número eleitoral</w:t>
            </w:r>
          </w:p>
        </w:tc>
        <w:tc>
          <w:tcPr>
            <w:tcW w:type="dxa" w:w="5184"/>
            <w:vAlign w:val="center"/>
          </w:tcPr>
          <w:p>
            <w:r>
              <w:t>7720</w:t>
            </w:r>
          </w:p>
        </w:tc>
      </w:tr>
      <w:tr>
        <w:tc>
          <w:tcPr>
            <w:tcW w:type="dxa" w:w="5184"/>
            <w:vAlign w:val="center"/>
          </w:tcPr>
          <w:p>
            <w:r>
              <w:t>Partido</w:t>
            </w:r>
          </w:p>
        </w:tc>
        <w:tc>
          <w:tcPr>
            <w:tcW w:type="dxa" w:w="5184"/>
            <w:vAlign w:val="center"/>
          </w:tcPr>
          <w:p>
            <w:r>
              <w:t>Solidariedade</w:t>
            </w:r>
          </w:p>
        </w:tc>
      </w:tr>
      <w:tr>
        <w:tc>
          <w:tcPr>
            <w:tcW w:type="dxa" w:w="5184"/>
            <w:vAlign w:val="center"/>
          </w:tcPr>
          <w:p>
            <w:r>
              <w:t>Federação</w:t>
            </w:r>
          </w:p>
        </w:tc>
        <w:tc>
          <w:tcPr>
            <w:tcW w:type="dxa" w:w="5184"/>
            <w:vAlign w:val="center"/>
          </w:tcPr>
          <w:p>
            <w:r>
              <w:t>Federação Renovação Solidária (PRD/Solidariedade)</w:t>
            </w:r>
          </w:p>
        </w:tc>
      </w:tr>
      <w:tr>
        <w:tc>
          <w:tcPr>
            <w:tcW w:type="dxa" w:w="5184"/>
            <w:vAlign w:val="center"/>
          </w:tcPr>
          <w:p>
            <w:r>
              <w:t>CNPJ da candidatura</w:t>
            </w:r>
          </w:p>
        </w:tc>
        <w:tc>
          <w:tcPr>
            <w:tcW w:type="dxa" w:w="5184"/>
            <w:vAlign w:val="center"/>
          </w:tcPr>
          <w:p>
            <w:r>
              <w:t>68.237.289/0001-09</w:t>
            </w:r>
          </w:p>
        </w:tc>
      </w:tr>
    </w:tbl>
    <w:p>
      <w:pPr>
        <w:pStyle w:val="SmallNote"/>
      </w:pPr>
      <w:r>
        <w:rPr>
          <w:b/>
        </w:rPr>
        <w:t xml:space="preserve">Regra interna do projeto: </w:t>
      </w:r>
      <w:r>
        <w:t>o CNPJ 68.237.289/0001-09 deve constar nos materiais da candidatura conforme orientação da cliente. Não inventar, alterar ou abreviar dados oficiais.</w:t>
      </w:r>
    </w:p>
    <w:p>
      <w:pPr>
        <w:pStyle w:val="Heading1"/>
      </w:pPr>
      <w:r>
        <w:t>2. Arquitetura atual do site</w:t>
      </w:r>
    </w:p>
    <w:p>
      <w:r>
        <w:t>A estrutura aprovada anteriormente tinha cinco rotas; a seção Parceiros foi removida por decisão da cliente. A arquitetura atual passa a ter quatro rotas principais. A definição anterior descrevia Início, Sobre mim, Ideias &amp; Projetos e Comunidade; Parceiros deixa de existir nesta versão.</w:t>
      </w:r>
    </w:p>
    <w:p>
      <w:pPr>
        <w:pStyle w:val="Heading2"/>
      </w:pPr>
      <w:r>
        <w:t>1. Início</w:t>
      </w:r>
    </w:p>
    <w:p>
      <w:r>
        <w:t>Apresentação e boas-vindas. Deve comunicar de forma clara quem é Tatá Bracho, seus valores, sua candidatura e sua atuação proposta. A home deve ter hierarquia forte, leitura rápida e chamadas visuais consistentes com a identidade azul.</w:t>
      </w:r>
    </w:p>
    <w:p>
      <w:pPr>
        <w:pStyle w:val="Heading2"/>
      </w:pPr>
      <w:r>
        <w:t>2. Sobre mim</w:t>
      </w:r>
    </w:p>
    <w:p>
      <w:r>
        <w:t>Área biográfica. Apresentar história, trajetória, valores e motivações da Tatá de forma humana e organizada. O documento anterior previa também uma conexão institucional com o partido Solidariedade em https://solidariedade.org.br.</w:t>
      </w:r>
    </w:p>
    <w:p>
      <w:pPr>
        <w:pStyle w:val="Heading2"/>
      </w:pPr>
      <w:r>
        <w:t>3. Ideias &amp; Projetos</w:t>
      </w:r>
    </w:p>
    <w:p>
      <w:r>
        <w:t>Vitrine dos projetos, propostas e compromissos que forem aprovados pela Tatá. O conteúdo definitivo será desenvolvido posteriormente a partir das ideias fornecidas/validadas pela cliente. A rota deve ser modular, clara e preparada para receber novos projetos sem exigir reconstrução do layout.</w:t>
      </w:r>
    </w:p>
    <w:p>
      <w:pPr>
        <w:pStyle w:val="Heading2"/>
      </w:pPr>
      <w:r>
        <w:t>4. Comunidade</w:t>
      </w:r>
    </w:p>
    <w:p>
      <w:r>
        <w:t>Canal de diálogo e participação. Deve concentrar o direcionamento para o grupo oficial de WhatsApp e funcionar como espaço de aproximação com a população, mantendo linguagem clara e experiência simples no celular. A função de engajamento já constava na estrutura original.</w:t>
      </w:r>
    </w:p>
    <w:p>
      <w:pPr>
        <w:pStyle w:val="SmallNote"/>
      </w:pPr>
      <w:r>
        <w:rPr>
          <w:b/>
        </w:rPr>
        <w:t xml:space="preserve">Remoção confirmada: </w:t>
      </w:r>
      <w:r>
        <w:t>não criar menu, rota, seção, card, CTA ou link para “Parceiros” nesta versão.</w:t>
      </w:r>
    </w:p>
    <w:p>
      <w:pPr>
        <w:pStyle w:val="Heading1"/>
      </w:pPr>
      <w:r>
        <w:t>3. Identidade visual oficial do site</w:t>
      </w:r>
    </w:p>
    <w:p>
      <w:r>
        <w:t>Usar exclusivamente uma identidade visual baseada em azul profundo, azul royal, azul elétrico e branco frio. Não utilizar laranja, amarelo, vermelho, verde ou outras cores de destaque.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shd w:fill="01155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Nome</w:t>
            </w:r>
          </w:p>
        </w:tc>
        <w:tc>
          <w:tcPr>
            <w:tcW w:type="dxa" w:w="3456"/>
            <w:shd w:fill="01155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HEX</w:t>
            </w:r>
          </w:p>
        </w:tc>
        <w:tc>
          <w:tcPr>
            <w:tcW w:type="dxa" w:w="3456"/>
            <w:shd w:fill="011555"/>
            <w:vAlign w:val="center"/>
          </w:tcPr>
          <w:p>
            <w:r/>
            <w:r>
              <w:rPr>
                <w:b/>
                <w:color w:val="FFFFFF"/>
                <w:sz w:val="20"/>
              </w:rPr>
              <w:t>Função sugerida</w:t>
            </w:r>
          </w:p>
        </w:tc>
      </w:tr>
      <w:tr>
        <w:tc>
          <w:tcPr>
            <w:tcW w:type="dxa" w:w="3456"/>
          </w:tcPr>
          <w:p>
            <w:r>
              <w:t>Azul marinho profundo</w:t>
            </w:r>
          </w:p>
        </w:tc>
        <w:tc>
          <w:tcPr>
            <w:tcW w:type="dxa" w:w="3456"/>
            <w:shd w:fill="011555"/>
          </w:tcPr>
          <w:p>
            <w:r>
              <w:rPr>
                <w:b/>
                <w:color w:val="FFFFFF"/>
              </w:rPr>
              <w:t>#011555</w:t>
            </w:r>
          </w:p>
        </w:tc>
        <w:tc>
          <w:tcPr>
            <w:tcW w:type="dxa" w:w="3456"/>
          </w:tcPr>
          <w:p>
            <w:r>
              <w:t>Base principal / fundos profundos</w:t>
            </w:r>
          </w:p>
        </w:tc>
      </w:tr>
      <w:tr>
        <w:tc>
          <w:tcPr>
            <w:tcW w:type="dxa" w:w="3456"/>
          </w:tcPr>
          <w:p>
            <w:r>
              <w:t>Azul marinho</w:t>
            </w:r>
          </w:p>
        </w:tc>
        <w:tc>
          <w:tcPr>
            <w:tcW w:type="dxa" w:w="3456"/>
            <w:shd w:fill="021E70"/>
          </w:tcPr>
          <w:p>
            <w:r>
              <w:rPr>
                <w:b/>
                <w:color w:val="FFFFFF"/>
              </w:rPr>
              <w:t>#021E70</w:t>
            </w:r>
          </w:p>
        </w:tc>
        <w:tc>
          <w:tcPr>
            <w:tcW w:type="dxa" w:w="3456"/>
          </w:tcPr>
          <w:p>
            <w:r>
              <w:t>Fundos e áreas estruturais</w:t>
            </w:r>
          </w:p>
        </w:tc>
      </w:tr>
      <w:tr>
        <w:tc>
          <w:tcPr>
            <w:tcW w:type="dxa" w:w="3456"/>
          </w:tcPr>
          <w:p>
            <w:r>
              <w:t>Azul royal</w:t>
            </w:r>
          </w:p>
        </w:tc>
        <w:tc>
          <w:tcPr>
            <w:tcW w:type="dxa" w:w="3456"/>
            <w:shd w:fill="012EA0"/>
          </w:tcPr>
          <w:p>
            <w:r>
              <w:rPr>
                <w:b/>
                <w:color w:val="FFFFFF"/>
              </w:rPr>
              <w:t>#012EA0</w:t>
            </w:r>
          </w:p>
        </w:tc>
        <w:tc>
          <w:tcPr>
            <w:tcW w:type="dxa" w:w="3456"/>
          </w:tcPr>
          <w:p>
            <w:r>
              <w:t>Gradientes e áreas de transição</w:t>
            </w:r>
          </w:p>
        </w:tc>
      </w:tr>
      <w:tr>
        <w:tc>
          <w:tcPr>
            <w:tcW w:type="dxa" w:w="3456"/>
          </w:tcPr>
          <w:p>
            <w:r>
              <w:t>Azul vibrante</w:t>
            </w:r>
          </w:p>
        </w:tc>
        <w:tc>
          <w:tcPr>
            <w:tcW w:type="dxa" w:w="3456"/>
            <w:shd w:fill="0443CA"/>
          </w:tcPr>
          <w:p>
            <w:r>
              <w:rPr>
                <w:b/>
                <w:color w:val="FFFFFF"/>
              </w:rPr>
              <w:t>#0443CA</w:t>
            </w:r>
          </w:p>
        </w:tc>
        <w:tc>
          <w:tcPr>
            <w:tcW w:type="dxa" w:w="3456"/>
          </w:tcPr>
          <w:p>
            <w:r>
              <w:t>Botões, CTAs, destaques</w:t>
            </w:r>
          </w:p>
        </w:tc>
      </w:tr>
      <w:tr>
        <w:tc>
          <w:tcPr>
            <w:tcW w:type="dxa" w:w="3456"/>
          </w:tcPr>
          <w:p>
            <w:r>
              <w:t>Azul elétrico</w:t>
            </w:r>
          </w:p>
        </w:tc>
        <w:tc>
          <w:tcPr>
            <w:tcW w:type="dxa" w:w="3456"/>
            <w:shd w:fill="1880EE"/>
          </w:tcPr>
          <w:p>
            <w:r>
              <w:rPr>
                <w:b/>
                <w:color w:val="FFFFFF"/>
              </w:rPr>
              <w:t>#1880EE</w:t>
            </w:r>
          </w:p>
        </w:tc>
        <w:tc>
          <w:tcPr>
            <w:tcW w:type="dxa" w:w="3456"/>
          </w:tcPr>
          <w:p>
            <w:r>
              <w:t>Elementos de maior energia visual</w:t>
            </w:r>
          </w:p>
        </w:tc>
      </w:tr>
      <w:tr>
        <w:tc>
          <w:tcPr>
            <w:tcW w:type="dxa" w:w="3456"/>
          </w:tcPr>
          <w:p>
            <w:r>
              <w:t>Branco levemente frio</w:t>
            </w:r>
          </w:p>
        </w:tc>
        <w:tc>
          <w:tcPr>
            <w:tcW w:type="dxa" w:w="3456"/>
            <w:shd w:fill="EFEFF3"/>
          </w:tcPr>
          <w:p>
            <w:r>
              <w:rPr>
                <w:b/>
                <w:color w:val="FFFFFF"/>
              </w:rPr>
              <w:t>#EFEFF3</w:t>
            </w:r>
          </w:p>
        </w:tc>
        <w:tc>
          <w:tcPr>
            <w:tcW w:type="dxa" w:w="3456"/>
          </w:tcPr>
          <w:p>
            <w:r>
              <w:t>Texto claro e superfícies claras</w:t>
            </w:r>
          </w:p>
        </w:tc>
      </w:tr>
    </w:tbl>
    <w:p>
      <w:pPr>
        <w:pStyle w:val="ListBullet"/>
      </w:pPr>
      <w:r>
        <w:t>Predominância: fundos em #011555 e #021E70, com gradientes progressivos para #012EA0, #0443CA e #1880EE.</w:t>
      </w:r>
    </w:p>
    <w:p>
      <w:pPr>
        <w:pStyle w:val="ListBullet"/>
      </w:pPr>
      <w:r>
        <w:t>Elementos importantes: botões, CTAs, números, links e destaques devem utilizar os azuis mais vibrantes.</w:t>
      </w:r>
    </w:p>
    <w:p>
      <w:pPr>
        <w:pStyle w:val="ListBullet"/>
      </w:pPr>
      <w:r>
        <w:t>Tipografia: textos principais em branco ou #EFEFF3. Garantir alto contraste e boa leitura em desktop e mobile.</w:t>
      </w:r>
    </w:p>
    <w:p>
      <w:pPr>
        <w:pStyle w:val="ListBullet"/>
      </w:pPr>
      <w:r>
        <w:t>Composição: utilizar gradientes, ondas, curvas, linhas finas, transparências e camadas de azul para criar profundidade.</w:t>
      </w:r>
    </w:p>
    <w:p>
      <w:pPr>
        <w:pStyle w:val="ListBullet"/>
      </w:pPr>
      <w:r>
        <w:t>Estética desejada: força, confiança, modernidade, profissionalismo, movimento, autoridade e identidade política contemporânea.</w:t>
      </w:r>
    </w:p>
    <w:p>
      <w:pPr>
        <w:pStyle w:val="ListBullet"/>
      </w:pPr>
      <w:r>
        <w:t>Evitar aparência de template genérico. O conjunto deve parecer uma identidade visual deliberada e profissional.</w:t>
      </w:r>
    </w:p>
    <w:p>
      <w:pPr>
        <w:pStyle w:val="Heading1"/>
      </w:pPr>
      <w:r>
        <w:t>4. Direção de design e experiência</w:t>
      </w:r>
    </w:p>
    <w:p>
      <w:r>
        <w:rPr>
          <w:b/>
        </w:rPr>
        <w:t xml:space="preserve">Hierarquia: </w:t>
      </w:r>
      <w:r>
        <w:t>Nome, cargo, número 7720 e mensagens principais devem possuir hierarquia clara. O visitante precisa entender rapidamente quem é a candidata e qual é a proposta do site.</w:t>
      </w:r>
    </w:p>
    <w:p>
      <w:r>
        <w:rPr>
          <w:b/>
        </w:rPr>
        <w:t xml:space="preserve">Profundidade: </w:t>
      </w:r>
      <w:r>
        <w:t>Aplicar camadas, gradientes e elementos fluidos sem transformar a interface em excesso visual. Cada efeito deve ter função.</w:t>
      </w:r>
    </w:p>
    <w:p>
      <w:r>
        <w:rPr>
          <w:b/>
        </w:rPr>
        <w:t xml:space="preserve">Mobile first: </w:t>
      </w:r>
      <w:r>
        <w:t>Priorizar leitura e navegação em telas pequenas, sem sacrificar a composição desktop.</w:t>
      </w:r>
    </w:p>
    <w:p>
      <w:r>
        <w:rPr>
          <w:b/>
        </w:rPr>
        <w:t xml:space="preserve">Elementos flutuantes: </w:t>
      </w:r>
      <w:r>
        <w:t>Utilizar shapes, círculos, linhas, ondas, cartões e elementos translúcidos de forma intencional, inspirados na linguagem visual já aprovada para as artes, sem copiar peças de terceiros.</w:t>
      </w:r>
    </w:p>
    <w:p>
      <w:r>
        <w:rPr>
          <w:b/>
        </w:rPr>
        <w:t xml:space="preserve">Consistência: </w:t>
      </w:r>
      <w:r>
        <w:t>As mesmas regras visuais devem se repetir entre Home, Sobre mim, Ideias &amp; Projetos e Comunidade.</w:t>
      </w:r>
    </w:p>
    <w:p>
      <w:r>
        <w:rPr>
          <w:b/>
        </w:rPr>
        <w:t xml:space="preserve">Performance: </w:t>
      </w:r>
      <w:r>
        <w:t>Evitar imagens e efeitos pesados sem necessidade. O visual deve continuar rápido e responsivo.</w:t>
      </w:r>
    </w:p>
    <w:p>
      <w:pPr>
        <w:pStyle w:val="Heading1"/>
      </w:pPr>
      <w:r>
        <w:t>5. Diretrizes de linguagem e conteúdo</w:t>
      </w:r>
    </w:p>
    <w:p>
      <w:pPr>
        <w:pStyle w:val="ListBullet"/>
      </w:pPr>
      <w:r>
        <w:t>Humanizar a comunicação. Priorizar linguagem natural, clara e compreensível.</w:t>
      </w:r>
    </w:p>
    <w:p>
      <w:pPr>
        <w:pStyle w:val="ListBullet"/>
      </w:pPr>
      <w:r>
        <w:t>Evitar textos artificiais, excessivamente institucionais ou repletos de frases genéricas de campanha.</w:t>
      </w:r>
    </w:p>
    <w:p>
      <w:pPr>
        <w:pStyle w:val="ListBullet"/>
      </w:pPr>
      <w:r>
        <w:t>A comunicação da candidatura parte de temas concretos do cotidiano, com foco em saúde, dignidade, custo de vida, respeito e melhoria dos serviços públicos, conforme o material oficial enviado pela cliente.</w:t>
      </w:r>
    </w:p>
    <w:p>
      <w:pPr>
        <w:pStyle w:val="ListBullet"/>
      </w:pPr>
      <w:r>
        <w:t>Não inventar biografia, formação, realizações, números, projetos, parceiros ou promessas que não tenham sido aprovados/fornecidos.</w:t>
      </w:r>
    </w:p>
    <w:p>
      <w:pPr>
        <w:pStyle w:val="ListBullet"/>
      </w:pPr>
      <w:r>
        <w:t>Não usar o travessão “-” nos textos do projeto. Quando uma construção equivalente for necessária, preferir pontuação convencional e natural.</w:t>
      </w:r>
    </w:p>
    <w:p>
      <w:pPr>
        <w:pStyle w:val="ListBullet"/>
      </w:pPr>
      <w:r>
        <w:t>Manter o número 7720 consistente em todo o site.</w:t>
      </w:r>
    </w:p>
    <w:p>
      <w:pPr>
        <w:pStyle w:val="ListBullet"/>
      </w:pPr>
      <w:r>
        <w:t>Quando o CNPJ da candidatura for exibido, usar exatamente: 68.237.289/0001-09.</w:t>
      </w:r>
    </w:p>
    <w:p>
      <w:pPr>
        <w:pStyle w:val="Heading1"/>
      </w:pPr>
      <w:r>
        <w:t>6. Identificação e informações obrigatórias</w:t>
      </w:r>
    </w:p>
    <w:p>
      <w:r>
        <w:t>Inserir o CNPJ da candidatura de forma legível no site, preferencialmente no rodapé institucional e/ou em áreas de identificação apropriadas, conforme a orientação da campanha. Não adicionar dados eleitorais não confirmados.</w:t>
      </w:r>
    </w:p>
    <w:p>
      <w:pPr>
        <w:pStyle w:val="Heading1"/>
      </w:pPr>
      <w:r>
        <w:t>7. Links já definidos</w:t>
      </w:r>
    </w:p>
    <w:p>
      <w:r>
        <w:t>Solidariedade: https://solidariedade.org.br | Referência institucional do partido, vinculada à página Sobre mim na estrutura anterior. </w:t>
      </w:r>
    </w:p>
    <w:p>
      <w:r>
        <w:t>Link do WhatsApp da Comunidade: ainda não fornecido. Não inventar. Inserir somente quando a campanha fornecer o link oficial.</w:t>
      </w:r>
    </w:p>
    <w:p>
      <w:pPr>
        <w:pStyle w:val="Heading1"/>
      </w:pPr>
      <w:r>
        <w:t>8. Instrução de execução para a IA/desenvolvedor</w:t>
      </w:r>
    </w:p>
    <w:p>
      <w:r>
        <w:t>Você está implementando o site institucional da Tatá Bracho. Trate este documento como especificação mestre. Respeite integralmente os dados oficiais, a paleta e a arquitetura atual. Não crie a rota Parceiros. Não invente conteúdo, números, links ou informações biográficas. Use apenas os quatro caminhos: Início, Sobre mim, Ideias &amp; Projetos e Comunidade. Construa uma experiência visual contemporânea, forte e profissional baseada exclusivamente na paleta azul informada. Utilize gradientes, ondas, curvas, linhas finas, transparências e camadas para profundidade, sempre com moderação. O projeto deve parecer uma identidade visual própria, não um template. Garanta excelente responsividade, contraste, tipografia consistente, navegação clara e desempenho. O CNPJ 68.237.289/0001-09 é um dado obrigatório do projeto e deve ser reproduzido exatamente quando exibido. Não use o caractere “-” em nenhum texto gerado.</w:t>
      </w:r>
    </w:p>
    <w:p>
      <w:pPr>
        <w:pStyle w:val="Heading1"/>
      </w:pPr>
      <w:r>
        <w:t>9. Checklist antes da entrega</w:t>
      </w:r>
    </w:p>
    <w:p>
      <w:pPr>
        <w:pStyle w:val="ListBullet"/>
      </w:pPr>
      <w:r>
        <w:t>Parceiros não aparece em nenhum menu, rota, breadcrumb, footer ou link interno.</w:t>
      </w:r>
    </w:p>
    <w:p>
      <w:pPr>
        <w:pStyle w:val="ListBullet"/>
      </w:pPr>
      <w:r>
        <w:t>A paleta usa somente os seis HEX aprovados.</w:t>
      </w:r>
    </w:p>
    <w:p>
      <w:pPr>
        <w:pStyle w:val="ListBullet"/>
      </w:pPr>
      <w:r>
        <w:t>Não há laranja, amarelo, vermelho, verde ou destaques em outras cores.</w:t>
      </w:r>
    </w:p>
    <w:p>
      <w:pPr>
        <w:pStyle w:val="ListBullet"/>
      </w:pPr>
      <w:r>
        <w:t>7720 aparece corretamente e sem variações.</w:t>
      </w:r>
    </w:p>
    <w:p>
      <w:pPr>
        <w:pStyle w:val="ListBullet"/>
      </w:pPr>
      <w:r>
        <w:t>“Tatá Bracho” e “Taciany Pereira dos Santos” estão corretos.</w:t>
      </w:r>
    </w:p>
    <w:p>
      <w:pPr>
        <w:pStyle w:val="ListBullet"/>
      </w:pPr>
      <w:r>
        <w:t>CNPJ 68.237.289/0001-09 está correto.</w:t>
      </w:r>
    </w:p>
    <w:p>
      <w:pPr>
        <w:pStyle w:val="ListBullet"/>
      </w:pPr>
      <w:r>
        <w:t>Os quatro menus estão funcionais.</w:t>
      </w:r>
    </w:p>
    <w:p>
      <w:pPr>
        <w:pStyle w:val="ListBullet"/>
      </w:pPr>
      <w:r>
        <w:t>Não existem links inventados.</w:t>
      </w:r>
    </w:p>
    <w:p>
      <w:pPr>
        <w:pStyle w:val="ListBullet"/>
      </w:pPr>
      <w:r>
        <w:t>Não existem textos com “-”.</w:t>
      </w:r>
    </w:p>
    <w:p>
      <w:pPr>
        <w:pStyle w:val="ListBullet"/>
      </w:pPr>
      <w:r>
        <w:t>Todas as páginas funcionam em mobile, tablet e desktop.</w:t>
      </w:r>
    </w:p>
    <w:p>
      <w:pPr>
        <w:pStyle w:val="ListBullet"/>
      </w:pPr>
      <w:r>
        <w:t>Nenhum conteúdo factual foi criado sem base ou aprovação.</w:t>
      </w:r>
    </w:p>
    <w:p>
      <w:pPr>
        <w:pStyle w:val="SmallNote"/>
      </w:pPr>
      <w:r>
        <w:t>Fonte estrutural: documento “Estrutura_Site_Tata_Bracho_7720_v8.pdf”, fornecido no projeto, atualizado pelas instruções do usuário desta revisão. Fonte de identidade e mensagem: santinho/apresentação “TATABRACHO7720_SANTINHO_7X10_ALTA.pdf”.</w:t>
      </w:r>
    </w:p>
    <w:sectPr w:rsidR="00FC693F" w:rsidRPr="0006063C" w:rsidSect="00034616">
      <w:footerReference w:type="default" r:id="rId9"/>
      <w:headerReference w:type="default" r:id="rId10"/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505A6E"/>
        <w:sz w:val="16"/>
      </w:rPr>
      <w:t>Tatá Bracho | 7720 | Documento mestre de especificação do site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ptos Display" w:hAnsi="Aptos Display"/>
      <w:b/>
      <w:bCs/>
      <w:color w:val="012EA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ptos Display" w:hAnsi="Aptos Display"/>
      <w:b/>
      <w:bCs/>
      <w:color w:val="0443CA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ptos Display" w:hAnsi="Aptos Display"/>
      <w:color w:val="01155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ptos" w:hAnsi="Aptos"/>
      <w:color w:val="3C465A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