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11555"/>
          <w:sz w:val="56"/>
        </w:rPr>
        <w:t>TATÁ BRACHO 7720</w:t>
      </w:r>
    </w:p>
    <w:p>
      <w:pPr>
        <w:jc w:val="center"/>
      </w:pPr>
      <w:r>
        <w:rPr>
          <w:b/>
          <w:color w:val="0443CA"/>
          <w:sz w:val="28"/>
        </w:rPr>
        <w:t>MANUAL DE CONFORMIDADE ELEITORAL PARA O SITE E OS PROJETOS</w:t>
      </w:r>
    </w:p>
    <w:p>
      <w:pPr>
        <w:jc w:val="center"/>
      </w:pPr>
      <w:r>
        <w:rPr>
          <w:sz w:val="20"/>
        </w:rPr>
        <w:t>Eleições Gerais de 2026 | Uso interno para desenvolvimento com IA</w:t>
      </w:r>
    </w:p>
    <w:tbl>
      <w:tblPr>
        <w:tblW w:type="auto" w:w="0"/>
        <w:jc w:val="center"/>
        <w:tblLook w:firstColumn="1" w:firstRow="1" w:lastColumn="0" w:lastRow="0" w:noHBand="0" w:noVBand="1" w:val="04A0"/>
      </w:tblPr>
      <w:tblGrid>
        <w:gridCol w:w="10166"/>
      </w:tblGrid>
      <w:tr>
        <w:tc>
          <w:tcPr>
            <w:tcW w:type="dxa" w:w="10166"/>
            <w:shd w:fill="EAF3FF"/>
          </w:tcPr>
          <w:p>
            <w:r/>
            <w:r>
              <w:rPr>
                <w:b/>
                <w:color w:val="011555"/>
                <w:sz w:val="20"/>
              </w:rPr>
              <w:t>IMPORTANTE: hierarquia das fontes</w:t>
            </w:r>
          </w:p>
          <w:p>
            <w:pPr>
              <w:spacing w:after="40"/>
            </w:pPr>
            <w:r>
              <w:rPr>
                <w:sz w:val="18"/>
              </w:rPr>
              <w:t>Este documento consolida regras oficiais consultadas do TSE para orientar o desenvolvimento do site institucional e das páginas de projetos. O Claude deverá usar este manual como checklist operacional, mas também deverá conferir diretamente as fontes oficiais citadas antes da publicação de qualquer conteúdo. Este arquivo não substitui validação jurídica da campanha.</w:t>
            </w:r>
          </w:p>
        </w:tc>
      </w:tr>
    </w:tbl>
    <w:p/>
    <w:p>
      <w:pPr>
        <w:pStyle w:val="Heading1"/>
      </w:pPr>
      <w:r>
        <w:t>1. Identificação oficial da candidatura</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011555"/>
          </w:tcPr>
          <w:p>
            <w:r/>
            <w:r>
              <w:rPr>
                <w:rFonts w:ascii="Aptos" w:hAnsi="Aptos"/>
                <w:b/>
                <w:color w:val="FFFFFF"/>
                <w:sz w:val="18"/>
              </w:rPr>
              <w:t>Nome completo</w:t>
            </w:r>
          </w:p>
        </w:tc>
        <w:tc>
          <w:tcPr>
            <w:tcW w:type="dxa" w:w="5083"/>
            <w:vAlign w:val="center"/>
          </w:tcPr>
          <w:p>
            <w:r/>
            <w:r>
              <w:rPr>
                <w:rFonts w:ascii="Aptos" w:hAnsi="Aptos"/>
                <w:b w:val="0"/>
                <w:sz w:val="18"/>
              </w:rPr>
              <w:t>Taciany Pereira dos Santos</w:t>
            </w:r>
          </w:p>
        </w:tc>
      </w:tr>
      <w:tr>
        <w:tc>
          <w:tcPr>
            <w:tcW w:type="dxa" w:w="5083"/>
            <w:vAlign w:val="center"/>
            <w:shd w:fill="011555"/>
          </w:tcPr>
          <w:p>
            <w:r/>
            <w:r>
              <w:rPr>
                <w:rFonts w:ascii="Aptos" w:hAnsi="Aptos"/>
                <w:b/>
                <w:color w:val="FFFFFF"/>
                <w:sz w:val="18"/>
              </w:rPr>
              <w:t>Nome de urna</w:t>
            </w:r>
          </w:p>
        </w:tc>
        <w:tc>
          <w:tcPr>
            <w:tcW w:type="dxa" w:w="5083"/>
            <w:vAlign w:val="center"/>
          </w:tcPr>
          <w:p>
            <w:r/>
            <w:r>
              <w:rPr>
                <w:rFonts w:ascii="Aptos" w:hAnsi="Aptos"/>
                <w:b w:val="0"/>
                <w:sz w:val="18"/>
              </w:rPr>
              <w:t>Tatá Bracho</w:t>
            </w:r>
          </w:p>
        </w:tc>
      </w:tr>
      <w:tr>
        <w:tc>
          <w:tcPr>
            <w:tcW w:type="dxa" w:w="5083"/>
            <w:vAlign w:val="center"/>
            <w:shd w:fill="011555"/>
          </w:tcPr>
          <w:p>
            <w:r/>
            <w:r>
              <w:rPr>
                <w:rFonts w:ascii="Aptos" w:hAnsi="Aptos"/>
                <w:b/>
                <w:color w:val="FFFFFF"/>
                <w:sz w:val="18"/>
              </w:rPr>
              <w:t>Cargo</w:t>
            </w:r>
          </w:p>
        </w:tc>
        <w:tc>
          <w:tcPr>
            <w:tcW w:type="dxa" w:w="5083"/>
            <w:vAlign w:val="center"/>
          </w:tcPr>
          <w:p>
            <w:r/>
            <w:r>
              <w:rPr>
                <w:rFonts w:ascii="Aptos" w:hAnsi="Aptos"/>
                <w:b w:val="0"/>
                <w:sz w:val="18"/>
              </w:rPr>
              <w:t>Deputada Federal</w:t>
            </w:r>
          </w:p>
        </w:tc>
      </w:tr>
      <w:tr>
        <w:tc>
          <w:tcPr>
            <w:tcW w:type="dxa" w:w="5083"/>
            <w:vAlign w:val="center"/>
            <w:shd w:fill="011555"/>
          </w:tcPr>
          <w:p>
            <w:r/>
            <w:r>
              <w:rPr>
                <w:rFonts w:ascii="Aptos" w:hAnsi="Aptos"/>
                <w:b/>
                <w:color w:val="FFFFFF"/>
                <w:sz w:val="18"/>
              </w:rPr>
              <w:t>Número eleitoral</w:t>
            </w:r>
          </w:p>
        </w:tc>
        <w:tc>
          <w:tcPr>
            <w:tcW w:type="dxa" w:w="5083"/>
            <w:vAlign w:val="center"/>
          </w:tcPr>
          <w:p>
            <w:r/>
            <w:r>
              <w:rPr>
                <w:rFonts w:ascii="Aptos" w:hAnsi="Aptos"/>
                <w:b w:val="0"/>
                <w:sz w:val="18"/>
              </w:rPr>
              <w:t>7720</w:t>
            </w:r>
          </w:p>
        </w:tc>
      </w:tr>
      <w:tr>
        <w:tc>
          <w:tcPr>
            <w:tcW w:type="dxa" w:w="5083"/>
            <w:vAlign w:val="center"/>
            <w:shd w:fill="011555"/>
          </w:tcPr>
          <w:p>
            <w:r/>
            <w:r>
              <w:rPr>
                <w:rFonts w:ascii="Aptos" w:hAnsi="Aptos"/>
                <w:b/>
                <w:color w:val="FFFFFF"/>
                <w:sz w:val="18"/>
              </w:rPr>
              <w:t>Partido</w:t>
            </w:r>
          </w:p>
        </w:tc>
        <w:tc>
          <w:tcPr>
            <w:tcW w:type="dxa" w:w="5083"/>
            <w:vAlign w:val="center"/>
          </w:tcPr>
          <w:p>
            <w:r/>
            <w:r>
              <w:rPr>
                <w:rFonts w:ascii="Aptos" w:hAnsi="Aptos"/>
                <w:b w:val="0"/>
                <w:sz w:val="18"/>
              </w:rPr>
              <w:t>Solidariedade</w:t>
            </w:r>
          </w:p>
        </w:tc>
      </w:tr>
      <w:tr>
        <w:tc>
          <w:tcPr>
            <w:tcW w:type="dxa" w:w="5083"/>
            <w:vAlign w:val="center"/>
            <w:shd w:fill="011555"/>
          </w:tcPr>
          <w:p>
            <w:r/>
            <w:r>
              <w:rPr>
                <w:rFonts w:ascii="Aptos" w:hAnsi="Aptos"/>
                <w:b/>
                <w:color w:val="FFFFFF"/>
                <w:sz w:val="18"/>
              </w:rPr>
              <w:t>Federação</w:t>
            </w:r>
          </w:p>
        </w:tc>
        <w:tc>
          <w:tcPr>
            <w:tcW w:type="dxa" w:w="5083"/>
            <w:vAlign w:val="center"/>
          </w:tcPr>
          <w:p>
            <w:r/>
            <w:r>
              <w:rPr>
                <w:rFonts w:ascii="Aptos" w:hAnsi="Aptos"/>
                <w:b w:val="0"/>
                <w:sz w:val="18"/>
              </w:rPr>
              <w:t>Federação Renovação Solidária (PRD/Solidariedade)</w:t>
            </w:r>
          </w:p>
        </w:tc>
      </w:tr>
      <w:tr>
        <w:tc>
          <w:tcPr>
            <w:tcW w:type="dxa" w:w="5083"/>
            <w:vAlign w:val="center"/>
            <w:shd w:fill="011555"/>
          </w:tcPr>
          <w:p>
            <w:r/>
            <w:r>
              <w:rPr>
                <w:rFonts w:ascii="Aptos" w:hAnsi="Aptos"/>
                <w:b/>
                <w:color w:val="FFFFFF"/>
                <w:sz w:val="18"/>
              </w:rPr>
              <w:t>CNPJ da candidatura</w:t>
            </w:r>
          </w:p>
        </w:tc>
        <w:tc>
          <w:tcPr>
            <w:tcW w:type="dxa" w:w="5083"/>
            <w:vAlign w:val="center"/>
          </w:tcPr>
          <w:p>
            <w:r/>
            <w:r>
              <w:rPr>
                <w:rFonts w:ascii="Aptos" w:hAnsi="Aptos"/>
                <w:b w:val="0"/>
                <w:sz w:val="18"/>
              </w:rPr>
              <w:t>68.237.289/0001-09</w:t>
            </w:r>
          </w:p>
        </w:tc>
      </w:tr>
    </w:tbl>
    <w:tbl>
      <w:tblPr>
        <w:tblW w:type="auto" w:w="0"/>
        <w:jc w:val="center"/>
        <w:tblLook w:firstColumn="1" w:firstRow="1" w:lastColumn="0" w:lastRow="0" w:noHBand="0" w:noVBand="1" w:val="04A0"/>
      </w:tblPr>
      <w:tblGrid>
        <w:gridCol w:w="10166"/>
      </w:tblGrid>
      <w:tr>
        <w:tc>
          <w:tcPr>
            <w:tcW w:type="dxa" w:w="10166"/>
            <w:shd w:fill="F2F7FF"/>
          </w:tcPr>
          <w:p>
            <w:r/>
            <w:r>
              <w:rPr>
                <w:b/>
                <w:color w:val="011555"/>
                <w:sz w:val="20"/>
              </w:rPr>
              <w:t>Regra interna da campanha</w:t>
            </w:r>
          </w:p>
          <w:p>
            <w:pPr>
              <w:spacing w:after="40"/>
            </w:pPr>
            <w:r>
              <w:rPr>
                <w:sz w:val="18"/>
              </w:rPr>
              <w:t>Para este projeto, o CNPJ da candidatura 68.237.289/0001-09 deve aparecer nas áreas institucionais do site e nas peças digitais produzidas para a campanha, salvo orientação jurídica posterior em sentido diferente. Isso é uma diretriz interna de consistência e não deve ser apresentado pelo Claude como se fosse, por si só, uma exigência universal do TSE para toda página orgânica.</w:t>
            </w:r>
          </w:p>
        </w:tc>
      </w:tr>
    </w:tbl>
    <w:p/>
    <w:p>
      <w:pPr>
        <w:pStyle w:val="Heading1"/>
      </w:pPr>
      <w:r>
        <w:t>2. Qual é o objeto deste manual</w:t>
      </w:r>
    </w:p>
    <w:p>
      <w:r>
        <w:t>Este manual existe exclusivamente para estabelecer regras de conformidade eleitoral, identificação, publicação e governança do conteúdo do site institucional e das páginas de Ideias &amp; Projetos da candidatura.</w:t>
      </w:r>
    </w:p>
    <w:p>
      <w:r>
        <w:t>Não é um manual de identidade visual, arquitetura do site ou estratégia de campanha. Esses assuntos ficam nos respectivos arquivos do projeto.</w:t>
      </w:r>
    </w:p>
    <w:p>
      <w:pPr>
        <w:pStyle w:val="Heading1"/>
      </w:pPr>
      <w:r>
        <w:t>3. Site institucional da candidatura: o que precisa ser observado</w:t>
      </w:r>
    </w:p>
    <w:p>
      <w:pPr>
        <w:pStyle w:val="ListBullet"/>
        <w:spacing w:after="40"/>
      </w:pPr>
      <w:r>
        <w:t>A propaganda eleitoral na internet é permitida a partir de 16 de agosto de 2026.</w:t>
      </w:r>
    </w:p>
    <w:p>
      <w:pPr>
        <w:pStyle w:val="ListBullet"/>
        <w:spacing w:after="40"/>
      </w:pPr>
      <w:r>
        <w:t>A Lei das Eleições permite propaganda em site da candidata ou do candidato, com endereço eletrônico comunicado à Justiça Eleitoral e hospedado, direta ou indiretamente, em provedor de serviço de Internet estabelecido no país.</w:t>
      </w:r>
    </w:p>
    <w:p>
      <w:pPr>
        <w:pStyle w:val="ListBullet"/>
        <w:spacing w:after="40"/>
      </w:pPr>
      <w:r>
        <w:t>Os endereços eletrônicos usados pela candidatura devem ser comunicados à Justiça Eleitoral nos termos do registro da candidatura e das regras específicas aplicáveis.</w:t>
      </w:r>
    </w:p>
    <w:p>
      <w:pPr>
        <w:pStyle w:val="ListBullet"/>
        <w:spacing w:after="40"/>
      </w:pPr>
      <w:r>
        <w:t>O site não deve utilizar domínio, infraestrutura ou perfil pertencente a pessoa jurídica de forma que caracterize propaganda eleitoral em canal proibido. A regra do art. 29, §1º, veda propaganda eleitoral em sítios ou perfis de pessoas jurídicas e em sítios oficiais da administração pública.</w:t>
      </w:r>
    </w:p>
    <w:p>
      <w:pPr>
        <w:pStyle w:val="ListBullet"/>
        <w:spacing w:after="40"/>
      </w:pPr>
      <w:r>
        <w:t>Não criar áreas, anúncios ou integrações que possam caracterizar propaganda paga fora das modalidades legalmente permitidas.</w:t>
      </w:r>
    </w:p>
    <w:p>
      <w:pPr>
        <w:pStyle w:val="ListBullet"/>
        <w:spacing w:after="40"/>
      </w:pPr>
      <w:r>
        <w:t>Não inserir publicidade comercial de terceiros dentro do site de campanha sem avaliação jurídica e contábil específica.</w:t>
      </w:r>
    </w:p>
    <w:tbl>
      <w:tblPr>
        <w:tblW w:type="auto" w:w="0"/>
        <w:jc w:val="center"/>
        <w:tblLook w:firstColumn="1" w:firstRow="1" w:lastColumn="0" w:lastRow="0" w:noHBand="0" w:noVBand="1" w:val="04A0"/>
      </w:tblPr>
      <w:tblGrid>
        <w:gridCol w:w="10166"/>
      </w:tblGrid>
      <w:tr>
        <w:tc>
          <w:tcPr>
            <w:tcW w:type="dxa" w:w="10166"/>
            <w:shd w:fill="EEF7FF"/>
          </w:tcPr>
          <w:p>
            <w:r/>
            <w:r>
              <w:rPr>
                <w:b/>
                <w:color w:val="011555"/>
                <w:sz w:val="20"/>
              </w:rPr>
              <w:t>Footer recomendado para o site</w:t>
            </w:r>
          </w:p>
          <w:p>
            <w:pPr>
              <w:spacing w:after="40"/>
            </w:pPr>
            <w:r>
              <w:rPr>
                <w:sz w:val="18"/>
              </w:rPr>
              <w:t>PROPAGANDA ELEITORAL | Taciany Pereira dos Santos - Tatá Bracho | Deputada Federal 7720 | Federação Renovação Solidária (PRD/Solidariedade) | CNPJ: 68.237.289/0001-09</w:t>
            </w:r>
          </w:p>
        </w:tc>
      </w:tr>
    </w:tbl>
    <w:p/>
    <w:p>
      <w:pPr>
        <w:pStyle w:val="SmallNote"/>
      </w:pPr>
      <w:r>
        <w:t>Observação jurídica: a expressão “PROPAGANDA ELEITORAL” e o CNPJ no footer acima são o padrão interno adotado para o projeto. A legislação citada exige outras informações em situações específicas, como impulsionamento pago; não se deve afirmar que esse footer exato seja um texto legal universalmente obrigatório para todo site orgânico.</w:t>
      </w:r>
    </w:p>
    <w:p>
      <w:pPr>
        <w:pStyle w:val="Heading1"/>
      </w:pPr>
      <w:r>
        <w:t>4. Identificação partidária</w:t>
      </w:r>
    </w:p>
    <w:p>
      <w:pPr>
        <w:pStyle w:val="ListBullet"/>
        <w:spacing w:after="40"/>
      </w:pPr>
      <w:r>
        <w:t>A propaganda eleitoral deve mencionar a legenda partidária. O site deve apresentar “Solidariedade” de forma clara e consistente com o registro eleitoral.</w:t>
      </w:r>
    </w:p>
    <w:p>
      <w:pPr>
        <w:pStyle w:val="ListBullet"/>
        <w:spacing w:after="40"/>
      </w:pPr>
      <w:r>
        <w:t>Quando a federação for apresentada, utilizar a nomenclatura oficial fornecida pela campanha e conferir a grafia e composição no registro eleitoral vigente antes da publicação.</w:t>
      </w:r>
    </w:p>
    <w:p>
      <w:pPr>
        <w:pStyle w:val="ListBullet"/>
        <w:spacing w:after="40"/>
      </w:pPr>
      <w:r>
        <w:t>Não inventar siglas, números de partido, federação ou alianças.</w:t>
      </w:r>
    </w:p>
    <w:p>
      <w:pPr>
        <w:pStyle w:val="Heading1"/>
      </w:pPr>
      <w:r>
        <w:t>5. Impulsionamento e mídia paga na internet</w:t>
      </w:r>
    </w:p>
    <w:p>
      <w:pPr>
        <w:pStyle w:val="ListBullet"/>
        <w:spacing w:after="40"/>
      </w:pPr>
      <w:r>
        <w:t>É vedada propaganda eleitoral paga na internet, salvo o impulsionamento de conteúdos permitido pela legislação.</w:t>
      </w:r>
    </w:p>
    <w:p>
      <w:pPr>
        <w:pStyle w:val="ListBullet"/>
        <w:spacing w:after="40"/>
      </w:pPr>
      <w:r>
        <w:t>Quando houver impulsionamento, ele deve ser contratado exclusivamente por quem a regra autoriza, com identificação inequívoca de que se trata de conteúdo impulsionado.</w:t>
      </w:r>
    </w:p>
    <w:p>
      <w:pPr>
        <w:pStyle w:val="ListBullet"/>
        <w:spacing w:after="40"/>
      </w:pPr>
      <w:r>
        <w:t>Para propaganda eleitoral patrocinada, o CNPJ ou CPF do responsável deve aparecer de forma clara e legível, não bastando deixar a informação apenas na biblioteca de anúncios.</w:t>
      </w:r>
    </w:p>
    <w:p>
      <w:pPr>
        <w:pStyle w:val="ListBullet"/>
        <w:spacing w:after="40"/>
      </w:pPr>
      <w:r>
        <w:t>Nunca contratar ou recomendar disparos, automações ou mecanismos externos para alterar artificialmente o teor ou a repercussão da propaganda.</w:t>
      </w:r>
    </w:p>
    <w:p>
      <w:pPr>
        <w:pStyle w:val="ListBullet"/>
        <w:spacing w:after="40"/>
      </w:pPr>
      <w:r>
        <w:t>É vedado usar priorização paga em busca ou impulsionamento para propaganda negativa, desinformação ou estratégia baseada no nome de adversários, siglas ou apelidos de concorrentes.</w:t>
      </w:r>
    </w:p>
    <w:p>
      <w:pPr>
        <w:pStyle w:val="ListBullet"/>
        <w:spacing w:after="40"/>
      </w:pPr>
      <w:r>
        <w:t>Não criar no site qualquer elemento que simule impulsionamento, ranking eleitoral ou comparação de popularidade sem base e sem revisão jurídica.</w:t>
      </w:r>
    </w:p>
    <w:tbl>
      <w:tblPr>
        <w:tblW w:type="auto" w:w="0"/>
        <w:jc w:val="center"/>
        <w:tblLook w:firstColumn="1" w:firstRow="1" w:lastColumn="0" w:lastRow="0" w:noHBand="0" w:noVBand="1" w:val="04A0"/>
      </w:tblPr>
      <w:tblGrid>
        <w:gridCol w:w="10166"/>
      </w:tblGrid>
      <w:tr>
        <w:tc>
          <w:tcPr>
            <w:tcW w:type="dxa" w:w="10166"/>
            <w:shd w:fill="F7F8FA"/>
          </w:tcPr>
          <w:p>
            <w:r/>
            <w:r>
              <w:rPr>
                <w:b/>
                <w:color w:val="011555"/>
                <w:sz w:val="20"/>
              </w:rPr>
              <w:t>Regra prática para o Claude</w:t>
            </w:r>
          </w:p>
          <w:p>
            <w:pPr>
              <w:spacing w:after="40"/>
            </w:pPr>
            <w:r>
              <w:rPr>
                <w:sz w:val="18"/>
              </w:rPr>
              <w:t>As páginas do site não devem conter instruções de “compre anúncios”, “impulsione este conteúdo” ou integrações publicitárias automáticas. Caso a equipe da campanha queira patrocinar uma peça, a operação deve ser feita fora do desenvolvimento do site e seguir as regras próprias da plataforma e do TSE.</w:t>
            </w:r>
          </w:p>
        </w:tc>
      </w:tr>
    </w:tbl>
    <w:p/>
    <w:p>
      <w:pPr>
        <w:pStyle w:val="Heading1"/>
      </w:pPr>
      <w:r>
        <w:t>6. Conteúdo, verdade, honra e desinformação</w:t>
      </w:r>
    </w:p>
    <w:p>
      <w:pPr>
        <w:pStyle w:val="ListBullet"/>
        <w:spacing w:after="40"/>
      </w:pPr>
      <w:r>
        <w:t>Não publicar fatos sabidamente inverídicos.</w:t>
      </w:r>
    </w:p>
    <w:p>
      <w:pPr>
        <w:pStyle w:val="ListBullet"/>
        <w:spacing w:after="40"/>
      </w:pPr>
      <w:r>
        <w:t>Não publicar conteúdo que ofenda a honra ou a imagem de candidatas, candidatos, partidos, federações ou coligações.</w:t>
      </w:r>
    </w:p>
    <w:p>
      <w:pPr>
        <w:pStyle w:val="ListBullet"/>
        <w:spacing w:after="40"/>
      </w:pPr>
      <w:r>
        <w:t>Não transformar opiniões políticas em fatos objetivos sem evidência.</w:t>
      </w:r>
    </w:p>
    <w:p>
      <w:pPr>
        <w:pStyle w:val="ListBullet"/>
        <w:spacing w:after="40"/>
      </w:pPr>
      <w:r>
        <w:t>Não inventar pesquisas, estatísticas, números de economia, dados de saúde, rankings, aprovação, apoio popular, resultados ou “provas”.</w:t>
      </w:r>
    </w:p>
    <w:p>
      <w:pPr>
        <w:pStyle w:val="ListBullet"/>
        <w:spacing w:after="40"/>
      </w:pPr>
      <w:r>
        <w:t>Não atribuir a adversários crimes, corrupção, incompetência ou outras condutas ilícitas sem base documental e revisão jurídica.</w:t>
      </w:r>
    </w:p>
    <w:p>
      <w:pPr>
        <w:pStyle w:val="ListBullet"/>
        <w:spacing w:after="40"/>
      </w:pPr>
      <w:r>
        <w:t>Não usar montagens ou recortes fora de contexto para criar uma impressão enganosa.</w:t>
      </w:r>
    </w:p>
    <w:p>
      <w:pPr>
        <w:pStyle w:val="ListBullet"/>
        <w:spacing w:after="40"/>
      </w:pPr>
      <w:r>
        <w:t>Não republicar conteúdo substancialmente equivalente a conteúdo já retirado por ordem da Justiça Eleitoral, quando a equipe tiver ciência da ordem.</w:t>
      </w:r>
    </w:p>
    <w:p>
      <w:pPr>
        <w:pStyle w:val="ListBullet"/>
        <w:spacing w:after="40"/>
      </w:pPr>
      <w:r>
        <w:t>Qualquer crítica política deve ser revisada para evitar ofensa pessoal e afirmações factuais sem prova.</w:t>
      </w:r>
    </w:p>
    <w:p>
      <w:pPr>
        <w:pStyle w:val="Heading1"/>
      </w:pPr>
      <w:r>
        <w:t>7. Inteligência artificial no site e em materiais vinculados</w:t>
      </w:r>
    </w:p>
    <w:p>
      <w:r>
        <w:t>As Eleições 2026 têm regras específicas para conteúdo sintético multimídia gerado ou alterado por IA ou tecnologia equivalente. A Resolução TSE nº 23.755/2026 acrescentou regras ao art. 9º-B da Resolução nº 23.610/2019.</w:t>
      </w:r>
    </w:p>
    <w:p>
      <w:pPr>
        <w:pStyle w:val="ListBullet"/>
        <w:spacing w:after="40"/>
      </w:pPr>
      <w:r>
        <w:t>Quando houver conteúdo multimídia sintético gerado ou alterado por IA para criar, substituir, omitir, mesclar, alterar velocidade ou sobrepor imagens ou sons, o responsável pela propaganda deve informar de modo explícito, destacado e acessível que o conteúdo foi fabricado ou manipulado e qual tecnologia foi utilizada.</w:t>
      </w:r>
    </w:p>
    <w:p>
      <w:pPr>
        <w:pStyle w:val="ListBullet"/>
        <w:spacing w:after="40"/>
      </w:pPr>
      <w:r>
        <w:t>Não tratar como “foto real” uma imagem que tenha sido significativamente fabricada ou manipulada por IA.</w:t>
      </w:r>
    </w:p>
    <w:p>
      <w:pPr>
        <w:pStyle w:val="ListBullet"/>
        <w:spacing w:after="40"/>
      </w:pPr>
      <w:r>
        <w:t>Manter registro interno de quais partes de uma peça foram geradas ou alteradas por IA, por qual ferramenta e em quais etapas. A resolução prevê que, em determinadas disputas, o responsável poderá ter de demonstrar como e em quais etapas a IA foi empregada e a veracidade da informação veiculada.</w:t>
      </w:r>
    </w:p>
    <w:p>
      <w:pPr>
        <w:pStyle w:val="ListBullet"/>
        <w:spacing w:after="40"/>
      </w:pPr>
      <w:r>
        <w:t>Não produzir ou publicar conteúdo sintético vedado pela regulamentação.</w:t>
      </w:r>
    </w:p>
    <w:p>
      <w:pPr>
        <w:pStyle w:val="ListBullet"/>
        <w:spacing w:after="40"/>
      </w:pPr>
      <w:r>
        <w:t>No período de 72 horas antes até 24 horas depois do término do pleito, há vedação específica à publicação, republicação e impulsionamento pago de novos conteúdos sintéticos produzidos ou alterados por IA que utilizem imagem, voz ou manifestação de candidata, candidato ou pessoa pública, ainda que rotulados.</w:t>
      </w:r>
    </w:p>
    <w:p>
      <w:pPr>
        <w:pStyle w:val="ListBullet"/>
        <w:spacing w:after="40"/>
      </w:pPr>
      <w:r>
        <w:t>O Claude deve verificar diretamente o texto consolidado do TSE sempre que criar uma peça com fotografia, vídeo, voz, avatar, montagem ou qualquer outro conteúdo multimídia sintético.</w:t>
      </w:r>
    </w:p>
    <w:tbl>
      <w:tblPr>
        <w:tblW w:type="auto" w:w="0"/>
        <w:jc w:val="center"/>
        <w:tblLook w:firstColumn="1" w:firstRow="1" w:lastColumn="0" w:lastRow="0" w:noHBand="0" w:noVBand="1" w:val="04A0"/>
      </w:tblPr>
      <w:tblGrid>
        <w:gridCol w:w="10166"/>
      </w:tblGrid>
      <w:tr>
        <w:tc>
          <w:tcPr>
            <w:tcW w:type="dxa" w:w="10166"/>
            <w:shd w:fill="F2F7FF"/>
          </w:tcPr>
          <w:p>
            <w:r/>
            <w:r>
              <w:rPr>
                <w:b/>
                <w:color w:val="011555"/>
                <w:sz w:val="20"/>
              </w:rPr>
              <w:t>Importante sobre textos gerados por IA</w:t>
            </w:r>
          </w:p>
          <w:p>
            <w:pPr>
              <w:spacing w:after="40"/>
            </w:pPr>
            <w:r>
              <w:rPr>
                <w:sz w:val="18"/>
              </w:rPr>
              <w:t>A regra de rotulagem citada acima trata de conteúdo sintético multimídia. Não se deve inventar uma obrigação de “marcar IA” para todo e qualquer texto apenas porque foi escrito com auxílio de IA. O Claude deve distinguir texto editorial de imagem, vídeo ou áudio sintético e consultar a norma vigente para cada caso.</w:t>
            </w:r>
          </w:p>
        </w:tc>
      </w:tr>
    </w:tbl>
    <w:p/>
    <w:p>
      <w:pPr>
        <w:pStyle w:val="Heading1"/>
      </w:pPr>
      <w:r>
        <w:t>8. Períodos e datas que afetam o projeto</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011555"/>
          </w:tcPr>
          <w:p>
            <w:r/>
            <w:r>
              <w:rPr>
                <w:rFonts w:ascii="Aptos" w:hAnsi="Aptos"/>
                <w:b/>
                <w:color w:val="FFFFFF"/>
                <w:sz w:val="17"/>
              </w:rPr>
              <w:t>Marco</w:t>
            </w:r>
          </w:p>
        </w:tc>
        <w:tc>
          <w:tcPr>
            <w:tcW w:type="dxa" w:w="3389"/>
            <w:vAlign w:val="center"/>
            <w:shd w:fill="011555"/>
          </w:tcPr>
          <w:p>
            <w:r/>
            <w:r>
              <w:rPr>
                <w:rFonts w:ascii="Aptos" w:hAnsi="Aptos"/>
                <w:b/>
                <w:color w:val="FFFFFF"/>
                <w:sz w:val="17"/>
              </w:rPr>
              <w:t>Data/Período</w:t>
            </w:r>
          </w:p>
        </w:tc>
        <w:tc>
          <w:tcPr>
            <w:tcW w:type="dxa" w:w="3389"/>
            <w:vAlign w:val="center"/>
            <w:shd w:fill="011555"/>
          </w:tcPr>
          <w:p>
            <w:r/>
            <w:r>
              <w:rPr>
                <w:rFonts w:ascii="Aptos" w:hAnsi="Aptos"/>
                <w:b/>
                <w:color w:val="FFFFFF"/>
                <w:sz w:val="17"/>
              </w:rPr>
              <w:t>Impacto prático</w:t>
            </w:r>
          </w:p>
        </w:tc>
      </w:tr>
      <w:tr>
        <w:tc>
          <w:tcPr>
            <w:tcW w:type="dxa" w:w="3389"/>
            <w:vAlign w:val="center"/>
          </w:tcPr>
          <w:p>
            <w:r/>
            <w:r>
              <w:rPr>
                <w:rFonts w:ascii="Aptos" w:hAnsi="Aptos"/>
                <w:b w:val="0"/>
                <w:sz w:val="16"/>
              </w:rPr>
              <w:t>Início da propaganda eleitoral</w:t>
            </w:r>
          </w:p>
        </w:tc>
        <w:tc>
          <w:tcPr>
            <w:tcW w:type="dxa" w:w="3389"/>
            <w:vAlign w:val="center"/>
          </w:tcPr>
          <w:p>
            <w:r/>
            <w:r>
              <w:rPr>
                <w:rFonts w:ascii="Aptos" w:hAnsi="Aptos"/>
                <w:b w:val="0"/>
                <w:sz w:val="16"/>
              </w:rPr>
              <w:t>16/08/2026</w:t>
            </w:r>
          </w:p>
        </w:tc>
        <w:tc>
          <w:tcPr>
            <w:tcW w:type="dxa" w:w="3389"/>
            <w:vAlign w:val="center"/>
          </w:tcPr>
          <w:p>
            <w:r/>
            <w:r>
              <w:rPr>
                <w:rFonts w:ascii="Aptos" w:hAnsi="Aptos"/>
                <w:b w:val="0"/>
                <w:sz w:val="16"/>
              </w:rPr>
              <w:t>Propaganda eleitoral, inclusive na internet, passa a ser permitida.</w:t>
            </w:r>
          </w:p>
        </w:tc>
      </w:tr>
      <w:tr>
        <w:tc>
          <w:tcPr>
            <w:tcW w:type="dxa" w:w="3389"/>
            <w:vAlign w:val="center"/>
          </w:tcPr>
          <w:p>
            <w:r/>
            <w:r>
              <w:rPr>
                <w:rFonts w:ascii="Aptos" w:hAnsi="Aptos"/>
                <w:b w:val="0"/>
                <w:sz w:val="16"/>
              </w:rPr>
              <w:t>Circulação paga/impulsionada na internet</w:t>
            </w:r>
          </w:p>
        </w:tc>
        <w:tc>
          <w:tcPr>
            <w:tcW w:type="dxa" w:w="3389"/>
            <w:vAlign w:val="center"/>
          </w:tcPr>
          <w:p>
            <w:r/>
            <w:r>
              <w:rPr>
                <w:rFonts w:ascii="Aptos" w:hAnsi="Aptos"/>
                <w:b w:val="0"/>
                <w:sz w:val="16"/>
              </w:rPr>
              <w:t>16/08/2026 a 01/10/2026</w:t>
            </w:r>
          </w:p>
        </w:tc>
        <w:tc>
          <w:tcPr>
            <w:tcW w:type="dxa" w:w="3389"/>
            <w:vAlign w:val="center"/>
          </w:tcPr>
          <w:p>
            <w:r/>
            <w:r>
              <w:rPr>
                <w:rFonts w:ascii="Aptos" w:hAnsi="Aptos"/>
                <w:b w:val="0"/>
                <w:sz w:val="16"/>
              </w:rPr>
              <w:t>Observar integralmente as regras específicas de impulsionamento e identificação.</w:t>
            </w:r>
          </w:p>
        </w:tc>
      </w:tr>
      <w:tr>
        <w:tc>
          <w:tcPr>
            <w:tcW w:type="dxa" w:w="3389"/>
            <w:vAlign w:val="center"/>
          </w:tcPr>
          <w:p>
            <w:r/>
            <w:r>
              <w:rPr>
                <w:rFonts w:ascii="Aptos" w:hAnsi="Aptos"/>
                <w:b w:val="0"/>
                <w:sz w:val="16"/>
              </w:rPr>
              <w:t>Janela especial de IA</w:t>
            </w:r>
          </w:p>
        </w:tc>
        <w:tc>
          <w:tcPr>
            <w:tcW w:type="dxa" w:w="3389"/>
            <w:vAlign w:val="center"/>
          </w:tcPr>
          <w:p>
            <w:r/>
            <w:r>
              <w:rPr>
                <w:rFonts w:ascii="Aptos" w:hAnsi="Aptos"/>
                <w:b w:val="0"/>
                <w:sz w:val="16"/>
              </w:rPr>
              <w:t>72h antes até 24h depois do término do pleito</w:t>
            </w:r>
          </w:p>
        </w:tc>
        <w:tc>
          <w:tcPr>
            <w:tcW w:type="dxa" w:w="3389"/>
            <w:vAlign w:val="center"/>
          </w:tcPr>
          <w:p>
            <w:r/>
            <w:r>
              <w:rPr>
                <w:rFonts w:ascii="Aptos" w:hAnsi="Aptos"/>
                <w:b w:val="0"/>
                <w:sz w:val="16"/>
              </w:rPr>
              <w:t>Novos conteúdos sintéticos com imagem, voz ou manifestação de candidato/pessoa pública ficam sujeitos à vedação específica prevista no art. 9º-B, §3º-A.</w:t>
            </w:r>
          </w:p>
        </w:tc>
      </w:tr>
      <w:tr>
        <w:tc>
          <w:tcPr>
            <w:tcW w:type="dxa" w:w="3389"/>
            <w:vAlign w:val="center"/>
          </w:tcPr>
          <w:p>
            <w:r/>
            <w:r>
              <w:rPr>
                <w:rFonts w:ascii="Aptos" w:hAnsi="Aptos"/>
                <w:b w:val="0"/>
                <w:sz w:val="16"/>
              </w:rPr>
              <w:t>Fim do 1º turno para propaganda de rua</w:t>
            </w:r>
          </w:p>
        </w:tc>
        <w:tc>
          <w:tcPr>
            <w:tcW w:type="dxa" w:w="3389"/>
            <w:vAlign w:val="center"/>
          </w:tcPr>
          <w:p>
            <w:r/>
            <w:r>
              <w:rPr>
                <w:rFonts w:ascii="Aptos" w:hAnsi="Aptos"/>
                <w:b w:val="0"/>
                <w:sz w:val="16"/>
              </w:rPr>
              <w:t>03/10/2026 às 22h</w:t>
            </w:r>
          </w:p>
        </w:tc>
        <w:tc>
          <w:tcPr>
            <w:tcW w:type="dxa" w:w="3389"/>
            <w:vAlign w:val="center"/>
          </w:tcPr>
          <w:p>
            <w:r/>
            <w:r>
              <w:rPr>
                <w:rFonts w:ascii="Aptos" w:hAnsi="Aptos"/>
                <w:b w:val="0"/>
                <w:sz w:val="16"/>
              </w:rPr>
              <w:t>Não publicar no site regras de campanha de rua como se permanecessem válidas após o prazo.</w:t>
            </w:r>
          </w:p>
        </w:tc>
      </w:tr>
    </w:tbl>
    <w:p>
      <w:pPr>
        <w:pStyle w:val="SmallNote"/>
      </w:pPr>
      <w:r>
        <w:t>Calendário oficial consultado: TSE, Eleições 2026. As datas podem ter especificidades conforme turno e modalidade de propaganda; conferir o calendário vigente antes de qualquer publicação programada.</w:t>
      </w:r>
    </w:p>
    <w:p>
      <w:pPr>
        <w:pStyle w:val="Heading1"/>
      </w:pPr>
      <w:r>
        <w:t>9. Formulários, WhatsApp, comunidade e coleta de dados</w:t>
      </w:r>
    </w:p>
    <w:p>
      <w:pPr>
        <w:pStyle w:val="ListBullet"/>
        <w:spacing w:after="40"/>
      </w:pPr>
      <w:r>
        <w:t>O site deve coletar somente os dados estritamente necessários para a finalidade declarada.</w:t>
      </w:r>
    </w:p>
    <w:p>
      <w:pPr>
        <w:pStyle w:val="ListBullet"/>
        <w:spacing w:after="40"/>
      </w:pPr>
      <w:r>
        <w:t>Não criar formulários que coletem dados pessoais sensíveis ou informações desnecessárias sem avaliação jurídica específica.</w:t>
      </w:r>
    </w:p>
    <w:p>
      <w:pPr>
        <w:pStyle w:val="ListBullet"/>
        <w:spacing w:after="40"/>
      </w:pPr>
      <w:r>
        <w:t>Antes de integrar WhatsApp, CRM, newsletter, disparos ou listas de apoiadores, confirmar a base legal, a finalidade e a forma de consentimento ou outra hipótese jurídica aplicável.</w:t>
      </w:r>
    </w:p>
    <w:p>
      <w:pPr>
        <w:pStyle w:val="ListBullet"/>
        <w:spacing w:after="40"/>
      </w:pPr>
      <w:r>
        <w:t>Não assumir que “o usuário clicou” equivale automaticamente a consentimento válido para qualquer finalidade.</w:t>
      </w:r>
    </w:p>
    <w:p>
      <w:pPr>
        <w:pStyle w:val="ListBullet"/>
        <w:spacing w:after="40"/>
      </w:pPr>
      <w:r>
        <w:t>Não comprar listas de contatos.</w:t>
      </w:r>
    </w:p>
    <w:p>
      <w:pPr>
        <w:pStyle w:val="ListBullet"/>
        <w:spacing w:after="40"/>
      </w:pPr>
      <w:r>
        <w:t>Não realizar telemarketing eleitoral.</w:t>
      </w:r>
    </w:p>
    <w:p>
      <w:pPr>
        <w:pStyle w:val="ListBullet"/>
        <w:spacing w:after="40"/>
      </w:pPr>
      <w:r>
        <w:t>Não realizar disparo em massa de mensagens instantâneas sem consentimento da pessoa destinatária.</w:t>
      </w:r>
    </w:p>
    <w:p>
      <w:pPr>
        <w:pStyle w:val="ListBullet"/>
        <w:spacing w:after="40"/>
      </w:pPr>
      <w:r>
        <w:t>Qualquer automação de mensagens deverá ser submetida à equipe da campanha e revisada à luz das regras eleitorais e de proteção de dados.</w:t>
      </w:r>
    </w:p>
    <w:p>
      <w:pPr>
        <w:pStyle w:val="Heading1"/>
      </w:pPr>
      <w:r>
        <w:t>10. Regras para a seção “Ideias &amp; Projetos”</w:t>
      </w:r>
    </w:p>
    <w:p>
      <w:pPr>
        <w:pStyle w:val="ListBullet"/>
        <w:spacing w:after="40"/>
      </w:pPr>
      <w:r>
        <w:t>Cada página deve apresentar claramente que se trata de proposta, projeto, ideia ou compromisso de atuação, e não de política pública já implementada.</w:t>
      </w:r>
    </w:p>
    <w:p>
      <w:pPr>
        <w:pStyle w:val="ListBullet"/>
        <w:spacing w:after="40"/>
      </w:pPr>
      <w:r>
        <w:t>Não escrever “foi criado”, “já está funcionando”, “já economizou”, “já reduziu”, “garante resultado” ou equivalentes quando o conteúdo representar apenas uma proposta futura.</w:t>
      </w:r>
    </w:p>
    <w:p>
      <w:pPr>
        <w:pStyle w:val="ListBullet"/>
        <w:spacing w:after="40"/>
      </w:pPr>
      <w:r>
        <w:t>Usar verbos de proposta: “propõe”, “prevê”, “pretende”, “busca”, “tem como objetivo”, “pode criar”, conforme o grau de certeza disponível.</w:t>
      </w:r>
    </w:p>
    <w:p>
      <w:pPr>
        <w:pStyle w:val="ListBullet"/>
        <w:spacing w:after="40"/>
      </w:pPr>
      <w:r>
        <w:t>Não inventar estimativas financeiras, metas numéricas, leis existentes, pareceres, pesquisas ou dados de impacto para fortalecer as páginas.</w:t>
      </w:r>
    </w:p>
    <w:p>
      <w:pPr>
        <w:pStyle w:val="ListBullet"/>
        <w:spacing w:after="40"/>
      </w:pPr>
      <w:r>
        <w:t>Quando uma proposta depender de lei, regulamentação, orçamento ou competência federativa, o Claude deve indicar isso de forma responsável e não prometer execução automática.</w:t>
      </w:r>
    </w:p>
    <w:p>
      <w:pPr>
        <w:pStyle w:val="ListBullet"/>
        <w:spacing w:after="40"/>
      </w:pPr>
      <w:r>
        <w:t>Não apresentar projeto de autoria já existente de outra pessoa como criação da Tatá.</w:t>
      </w:r>
    </w:p>
    <w:p>
      <w:pPr>
        <w:pStyle w:val="ListBullet"/>
        <w:spacing w:after="40"/>
      </w:pPr>
      <w:r>
        <w:t>Não usar o nome de programas públicos existentes sem confirmar sua existência e seu conteúdo atual.</w:t>
      </w:r>
    </w:p>
    <w:p>
      <w:pPr>
        <w:pStyle w:val="ListBullet"/>
        <w:spacing w:after="40"/>
      </w:pPr>
      <w:r>
        <w:t>Não citar autoridades, órgãos, estudos ou fontes que não tenham sido efetivamente verificados.</w:t>
      </w:r>
    </w:p>
    <w:p>
      <w:pPr>
        <w:pStyle w:val="Heading1"/>
      </w:pPr>
      <w:r>
        <w:t>11. Identificação recomendada no footer de cada página</w:t>
      </w:r>
    </w:p>
    <w:p>
      <w:r>
        <w:t>Para consistência do projeto, adotar no footer do site:</w:t>
      </w:r>
    </w:p>
    <w:p>
      <w:r>
        <w:rPr>
          <w:b/>
          <w:color w:val="011555"/>
        </w:rPr>
        <w:t>PROPAGANDA ELEITORAL | Taciany Pereira dos Santos - Tatá Bracho | Deputada Federal 7720 | Federação Renovação Solidária (PRD/Solidariedade) | CNPJ: 68.237.289/0001-09</w:t>
      </w:r>
    </w:p>
    <w:p>
      <w:pPr>
        <w:pStyle w:val="SmallNote"/>
      </w:pPr>
      <w:r>
        <w:t>Este é o padrão interno solicitado pela campanha. Antes da publicação definitiva, conferir com a assessoria jurídica a forma exata da identificação eleitoral no domínio oficial e em todas as plataformas associadas.</w:t>
      </w:r>
    </w:p>
    <w:p>
      <w:pPr>
        <w:pStyle w:val="Heading1"/>
      </w:pPr>
      <w:r>
        <w:t>12. Checklist obrigatório antes de publicar qualquer projeto</w:t>
      </w:r>
    </w:p>
    <w:p>
      <w:pPr>
        <w:pStyle w:val="ListBullet"/>
        <w:spacing w:after="40"/>
      </w:pPr>
      <w:r>
        <w:t>□ Nome “Tatá Bracho” correto.</w:t>
      </w:r>
    </w:p>
    <w:p>
      <w:pPr>
        <w:pStyle w:val="ListBullet"/>
        <w:spacing w:after="40"/>
      </w:pPr>
      <w:r>
        <w:t>□ Nome completo “Taciany Pereira dos Santos” correto quando utilizado.</w:t>
      </w:r>
    </w:p>
    <w:p>
      <w:pPr>
        <w:pStyle w:val="ListBullet"/>
        <w:spacing w:after="40"/>
      </w:pPr>
      <w:r>
        <w:t>□ Cargo “Deputada Federal” correto.</w:t>
      </w:r>
    </w:p>
    <w:p>
      <w:pPr>
        <w:pStyle w:val="ListBullet"/>
        <w:spacing w:after="40"/>
      </w:pPr>
      <w:r>
        <w:t>□ Número “7720” correto.</w:t>
      </w:r>
    </w:p>
    <w:p>
      <w:pPr>
        <w:pStyle w:val="ListBullet"/>
        <w:spacing w:after="40"/>
      </w:pPr>
      <w:r>
        <w:t>□ Partido “Solidariedade” corretamente identificado.</w:t>
      </w:r>
    </w:p>
    <w:p>
      <w:pPr>
        <w:pStyle w:val="ListBullet"/>
        <w:spacing w:after="40"/>
      </w:pPr>
      <w:r>
        <w:t>□ Federação escrita conforme registro eleitoral vigente.</w:t>
      </w:r>
    </w:p>
    <w:p>
      <w:pPr>
        <w:pStyle w:val="ListBullet"/>
        <w:spacing w:after="40"/>
      </w:pPr>
      <w:r>
        <w:t>□ CNPJ da candidatura 68.237.289/0001-09 correto.</w:t>
      </w:r>
    </w:p>
    <w:p>
      <w:pPr>
        <w:pStyle w:val="ListBullet"/>
        <w:spacing w:after="40"/>
      </w:pPr>
      <w:r>
        <w:t>□ Footer de identificação inserido no padrão aprovado.</w:t>
      </w:r>
    </w:p>
    <w:p>
      <w:pPr>
        <w:pStyle w:val="ListBullet"/>
        <w:spacing w:after="40"/>
      </w:pPr>
      <w:r>
        <w:t>□ Nenhum travessão longo “—” no conteúdo, conforme diretriz editorial do projeto.</w:t>
      </w:r>
    </w:p>
    <w:p>
      <w:pPr>
        <w:pStyle w:val="ListBullet"/>
        <w:spacing w:after="40"/>
      </w:pPr>
      <w:r>
        <w:t>□ Nenhuma informação biográfica inventada.</w:t>
      </w:r>
    </w:p>
    <w:p>
      <w:pPr>
        <w:pStyle w:val="ListBullet"/>
        <w:spacing w:after="40"/>
      </w:pPr>
      <w:r>
        <w:t>□ Nenhuma estatística ou dado sem fonte verificável.</w:t>
      </w:r>
    </w:p>
    <w:p>
      <w:pPr>
        <w:pStyle w:val="ListBullet"/>
        <w:spacing w:after="40"/>
      </w:pPr>
      <w:r>
        <w:t>□ Nenhuma promessa apresentada como resultado já alcançado.</w:t>
      </w:r>
    </w:p>
    <w:p>
      <w:pPr>
        <w:pStyle w:val="ListBullet"/>
        <w:spacing w:after="40"/>
      </w:pPr>
      <w:r>
        <w:t>□ Nenhuma acusação factual sem comprovação documental.</w:t>
      </w:r>
    </w:p>
    <w:p>
      <w:pPr>
        <w:pStyle w:val="ListBullet"/>
        <w:spacing w:after="40"/>
      </w:pPr>
      <w:r>
        <w:t>□ Nenhum conteúdo potencialmente ofensivo ou difamatório.</w:t>
      </w:r>
    </w:p>
    <w:p>
      <w:pPr>
        <w:pStyle w:val="ListBullet"/>
        <w:spacing w:after="40"/>
      </w:pPr>
      <w:r>
        <w:t>□ Nenhum material com aparência de conteúdo oficial de órgão público.</w:t>
      </w:r>
    </w:p>
    <w:p>
      <w:pPr>
        <w:pStyle w:val="ListBullet"/>
        <w:spacing w:after="40"/>
      </w:pPr>
      <w:r>
        <w:t>□ Nenhum formulário coletando dados além do necessário.</w:t>
      </w:r>
    </w:p>
    <w:p>
      <w:pPr>
        <w:pStyle w:val="ListBullet"/>
        <w:spacing w:after="40"/>
      </w:pPr>
      <w:r>
        <w:t>□ Nenhum disparo em massa ou telemarketing incorporado ao projeto.</w:t>
      </w:r>
    </w:p>
    <w:p>
      <w:pPr>
        <w:pStyle w:val="ListBullet"/>
        <w:spacing w:after="40"/>
      </w:pPr>
      <w:r>
        <w:t>□ Qualquer IA usada para imagem, vídeo, voz ou manipulação multimídia foi registrada e conferida segundo o art. 9º-B.</w:t>
      </w:r>
    </w:p>
    <w:p>
      <w:pPr>
        <w:pStyle w:val="ListBullet"/>
        <w:spacing w:after="40"/>
      </w:pPr>
      <w:r>
        <w:t>□ O site e seus endereços eletrônicos estão regularizados/comunicados conforme as exigências eleitorais aplicáveis.</w:t>
      </w:r>
    </w:p>
    <w:p>
      <w:pPr>
        <w:pStyle w:val="ListBullet"/>
        <w:spacing w:after="40"/>
      </w:pPr>
      <w:r>
        <w:t>□ O Claude conferiu diretamente as fontes oficiais atualizadas antes da publicação.</w:t>
      </w:r>
    </w:p>
    <w:p>
      <w:pPr>
        <w:pStyle w:val="Heading1"/>
      </w:pPr>
      <w:r>
        <w:t>13. Instrução operacional obrigatória para o Claude</w:t>
      </w:r>
    </w:p>
    <w:tbl>
      <w:tblPr>
        <w:tblW w:type="auto" w:w="0"/>
        <w:jc w:val="center"/>
        <w:tblLook w:firstColumn="1" w:firstRow="1" w:lastColumn="0" w:lastRow="0" w:noHBand="0" w:noVBand="1" w:val="04A0"/>
      </w:tblPr>
      <w:tblGrid>
        <w:gridCol w:w="10166"/>
      </w:tblGrid>
      <w:tr>
        <w:tc>
          <w:tcPr>
            <w:tcW w:type="dxa" w:w="10166"/>
            <w:shd w:fill="FFF7E6"/>
          </w:tcPr>
          <w:p>
            <w:r/>
            <w:r>
              <w:rPr>
                <w:b/>
                <w:color w:val="011555"/>
                <w:sz w:val="20"/>
              </w:rPr>
              <w:t>NÃO ASSUMA CONFORMIDADE</w:t>
            </w:r>
          </w:p>
          <w:p>
            <w:pPr>
              <w:spacing w:after="40"/>
            </w:pPr>
            <w:r>
              <w:rPr>
                <w:sz w:val="18"/>
              </w:rPr>
              <w:t>Antes de publicar, o Claude deve fazer uma nova checagem nas páginas oficiais do TSE sobre Eleições 2026 e Resolução nº 23.610/2019 com suas alterações de 2026. Caso encontre regra mais recente, decisão, atualização de calendário ou orientação específica que conflite com este documento, deve priorizar a norma oficial mais atual e sinalizar a divergência à equipe.</w:t>
            </w:r>
          </w:p>
        </w:tc>
      </w:tr>
    </w:tbl>
    <w:p/>
    <w:p>
      <w:pPr>
        <w:pStyle w:val="ListNumber"/>
        <w:spacing w:after="40"/>
      </w:pPr>
      <w:r>
        <w:t>Verificar a regra específica aplicável ao tipo de conteúdo: página do site, texto, imagem, vídeo, áudio, formulário, impulsionamento ou integração externa.</w:t>
      </w:r>
    </w:p>
    <w:p>
      <w:pPr>
        <w:pStyle w:val="ListNumber"/>
        <w:spacing w:after="40"/>
      </w:pPr>
      <w:r>
        <w:t>Separar claramente o que é exigência legal, o que é diretriz interna da campanha e o que é recomendação de boas práticas.</w:t>
      </w:r>
    </w:p>
    <w:p>
      <w:pPr>
        <w:pStyle w:val="ListNumber"/>
        <w:spacing w:after="40"/>
      </w:pPr>
      <w:r>
        <w:t>Nunca inventar um requisito legal. Quando houver dúvida, consultar a fonte oficial.</w:t>
      </w:r>
    </w:p>
    <w:p>
      <w:pPr>
        <w:pStyle w:val="ListNumber"/>
        <w:spacing w:after="40"/>
      </w:pPr>
      <w:r>
        <w:t>Nunca considerar o CNPJ informado neste documento como substituto automático de outras identificações que possam ser exigidas em situações específicas, especialmente anúncios patrocinados e materiais impressos.</w:t>
      </w:r>
    </w:p>
    <w:p>
      <w:pPr>
        <w:pStyle w:val="ListNumber"/>
        <w:spacing w:after="40"/>
      </w:pPr>
      <w:r>
        <w:t>Se a ferramenta de IA gerar ou alterar fotografia, vídeo, áudio, voz ou outro conteúdo multimídia, verificar a obrigação de rotulagem e as vedações do art. 9º-B antes de publicar.</w:t>
      </w:r>
    </w:p>
    <w:p>
      <w:pPr>
        <w:pStyle w:val="ListNumber"/>
        <w:spacing w:after="40"/>
      </w:pPr>
      <w:r>
        <w:t>Se houver integração com coleta de dados ou mensagens, revisar também as exigências de consentimento, finalidade e regras eleitorais aplicáveis.</w:t>
      </w:r>
    </w:p>
    <w:p>
      <w:pPr>
        <w:pStyle w:val="ListNumber"/>
        <w:spacing w:after="40"/>
      </w:pPr>
      <w:r>
        <w:t>Não publicar automaticamente após concluir o desenvolvimento. Fazer revisão final de conformidade e, para itens sensíveis, validação jurídica da campanha.</w:t>
      </w:r>
    </w:p>
    <w:p>
      <w:pPr>
        <w:pStyle w:val="Heading1"/>
      </w:pPr>
      <w:r>
        <w:t>14. Fontes oficiais consultadas</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vAlign w:val="center"/>
            <w:shd w:fill="011555"/>
          </w:tcPr>
          <w:p>
            <w:r/>
            <w:r>
              <w:rPr>
                <w:rFonts w:ascii="Aptos" w:hAnsi="Aptos"/>
                <w:b/>
                <w:color w:val="FFFFFF"/>
                <w:sz w:val="15"/>
              </w:rPr>
              <w:t>Fonte</w:t>
            </w:r>
          </w:p>
        </w:tc>
        <w:tc>
          <w:tcPr>
            <w:tcW w:type="dxa" w:w="2541"/>
            <w:vAlign w:val="center"/>
            <w:shd w:fill="011555"/>
          </w:tcPr>
          <w:p>
            <w:r/>
            <w:r>
              <w:rPr>
                <w:rFonts w:ascii="Aptos" w:hAnsi="Aptos"/>
                <w:b/>
                <w:color w:val="FFFFFF"/>
                <w:sz w:val="15"/>
              </w:rPr>
              <w:t>Documento</w:t>
            </w:r>
          </w:p>
        </w:tc>
        <w:tc>
          <w:tcPr>
            <w:tcW w:type="dxa" w:w="2541"/>
            <w:vAlign w:val="center"/>
            <w:shd w:fill="011555"/>
          </w:tcPr>
          <w:p>
            <w:r/>
            <w:r>
              <w:rPr>
                <w:rFonts w:ascii="Aptos" w:hAnsi="Aptos"/>
                <w:b/>
                <w:color w:val="FFFFFF"/>
                <w:sz w:val="15"/>
              </w:rPr>
              <w:t>Uso neste manual</w:t>
            </w:r>
          </w:p>
        </w:tc>
        <w:tc>
          <w:tcPr>
            <w:tcW w:type="dxa" w:w="2541"/>
            <w:vAlign w:val="center"/>
            <w:shd w:fill="011555"/>
          </w:tcPr>
          <w:p>
            <w:r/>
            <w:r>
              <w:rPr>
                <w:rFonts w:ascii="Aptos" w:hAnsi="Aptos"/>
                <w:b/>
                <w:color w:val="FFFFFF"/>
                <w:sz w:val="15"/>
              </w:rPr>
              <w:t>URL</w:t>
            </w:r>
          </w:p>
        </w:tc>
      </w:tr>
      <w:tr>
        <w:tc>
          <w:tcPr>
            <w:tcW w:type="dxa" w:w="2541"/>
            <w:vAlign w:val="center"/>
          </w:tcPr>
          <w:p>
            <w:r/>
            <w:r>
              <w:rPr>
                <w:rFonts w:ascii="Aptos" w:hAnsi="Aptos"/>
                <w:b w:val="0"/>
                <w:sz w:val="14"/>
              </w:rPr>
              <w:t>TSE</w:t>
            </w:r>
          </w:p>
        </w:tc>
        <w:tc>
          <w:tcPr>
            <w:tcW w:type="dxa" w:w="2541"/>
            <w:vAlign w:val="center"/>
          </w:tcPr>
          <w:p>
            <w:r/>
            <w:r>
              <w:rPr>
                <w:rFonts w:ascii="Aptos" w:hAnsi="Aptos"/>
                <w:b w:val="0"/>
                <w:sz w:val="14"/>
              </w:rPr>
              <w:t>Resolução nº 23.610/2019, texto consolidado</w:t>
            </w:r>
          </w:p>
        </w:tc>
        <w:tc>
          <w:tcPr>
            <w:tcW w:type="dxa" w:w="2541"/>
            <w:vAlign w:val="center"/>
          </w:tcPr>
          <w:p>
            <w:r/>
            <w:r>
              <w:rPr>
                <w:rFonts w:ascii="Aptos" w:hAnsi="Aptos"/>
                <w:b w:val="0"/>
                <w:sz w:val="14"/>
              </w:rPr>
              <w:t>Regras de propaganda eleitoral, internet, identificação, IA, remoções e vedações.</w:t>
            </w:r>
          </w:p>
        </w:tc>
        <w:tc>
          <w:tcPr>
            <w:tcW w:type="dxa" w:w="2541"/>
            <w:vAlign w:val="center"/>
          </w:tcPr>
          <w:p>
            <w:r/>
            <w:r>
              <w:rPr>
                <w:rFonts w:ascii="Aptos" w:hAnsi="Aptos"/>
                <w:b w:val="0"/>
                <w:sz w:val="14"/>
              </w:rPr>
              <w:t>https://www.tse.jus.br/legislacao/compilada/res/2019/resolucao-no-23-610-de-18-de-dezembro-de-2019</w:t>
            </w:r>
          </w:p>
        </w:tc>
      </w:tr>
      <w:tr>
        <w:tc>
          <w:tcPr>
            <w:tcW w:type="dxa" w:w="2541"/>
            <w:vAlign w:val="center"/>
          </w:tcPr>
          <w:p>
            <w:r/>
            <w:r>
              <w:rPr>
                <w:rFonts w:ascii="Aptos" w:hAnsi="Aptos"/>
                <w:b w:val="0"/>
                <w:sz w:val="14"/>
              </w:rPr>
              <w:t>TSE</w:t>
            </w:r>
          </w:p>
        </w:tc>
        <w:tc>
          <w:tcPr>
            <w:tcW w:type="dxa" w:w="2541"/>
            <w:vAlign w:val="center"/>
          </w:tcPr>
          <w:p>
            <w:r/>
            <w:r>
              <w:rPr>
                <w:rFonts w:ascii="Aptos" w:hAnsi="Aptos"/>
                <w:b w:val="0"/>
                <w:sz w:val="14"/>
              </w:rPr>
              <w:t>Resolução nº 23.755/2026</w:t>
            </w:r>
          </w:p>
        </w:tc>
        <w:tc>
          <w:tcPr>
            <w:tcW w:type="dxa" w:w="2541"/>
            <w:vAlign w:val="center"/>
          </w:tcPr>
          <w:p>
            <w:r/>
            <w:r>
              <w:rPr>
                <w:rFonts w:ascii="Aptos" w:hAnsi="Aptos"/>
                <w:b w:val="0"/>
                <w:sz w:val="14"/>
              </w:rPr>
              <w:t>Alterações para as Eleições 2026, inclusive regras de IA e propaganda digital.</w:t>
            </w:r>
          </w:p>
        </w:tc>
        <w:tc>
          <w:tcPr>
            <w:tcW w:type="dxa" w:w="2541"/>
            <w:vAlign w:val="center"/>
          </w:tcPr>
          <w:p>
            <w:r/>
            <w:r>
              <w:rPr>
                <w:rFonts w:ascii="Aptos" w:hAnsi="Aptos"/>
                <w:b w:val="0"/>
                <w:sz w:val="14"/>
              </w:rPr>
              <w:t>https://www.tse.jus.br/legislacao/compilada/res/2026/resolucao-no-23-755-de-2-de-marco-de-2026</w:t>
            </w:r>
          </w:p>
        </w:tc>
      </w:tr>
      <w:tr>
        <w:tc>
          <w:tcPr>
            <w:tcW w:type="dxa" w:w="2541"/>
            <w:vAlign w:val="center"/>
          </w:tcPr>
          <w:p>
            <w:r/>
            <w:r>
              <w:rPr>
                <w:rFonts w:ascii="Aptos" w:hAnsi="Aptos"/>
                <w:b w:val="0"/>
                <w:sz w:val="14"/>
              </w:rPr>
              <w:t>TSE</w:t>
            </w:r>
          </w:p>
        </w:tc>
        <w:tc>
          <w:tcPr>
            <w:tcW w:type="dxa" w:w="2541"/>
            <w:vAlign w:val="center"/>
          </w:tcPr>
          <w:p>
            <w:r/>
            <w:r>
              <w:rPr>
                <w:rFonts w:ascii="Aptos" w:hAnsi="Aptos"/>
                <w:b w:val="0"/>
                <w:sz w:val="14"/>
              </w:rPr>
              <w:t>Eleições 2026 - Propaganda eleitoral</w:t>
            </w:r>
          </w:p>
        </w:tc>
        <w:tc>
          <w:tcPr>
            <w:tcW w:type="dxa" w:w="2541"/>
            <w:vAlign w:val="center"/>
          </w:tcPr>
          <w:p>
            <w:r/>
            <w:r>
              <w:rPr>
                <w:rFonts w:ascii="Aptos" w:hAnsi="Aptos"/>
                <w:b w:val="0"/>
                <w:sz w:val="14"/>
              </w:rPr>
              <w:t>Resumo oficial das principais regras para ruas e internet.</w:t>
            </w:r>
          </w:p>
        </w:tc>
        <w:tc>
          <w:tcPr>
            <w:tcW w:type="dxa" w:w="2541"/>
            <w:vAlign w:val="center"/>
          </w:tcPr>
          <w:p>
            <w:r/>
            <w:r>
              <w:rPr>
                <w:rFonts w:ascii="Aptos" w:hAnsi="Aptos"/>
                <w:b w:val="0"/>
                <w:sz w:val="14"/>
              </w:rPr>
              <w:t>https://www.tse.jus.br/comunicacao/noticias/2026/Julho/por-dentro-das-eleicoes-conheca-as-regras-estabelecidas-para-a-propaganda-eleitoral</w:t>
            </w:r>
          </w:p>
        </w:tc>
      </w:tr>
      <w:tr>
        <w:tc>
          <w:tcPr>
            <w:tcW w:type="dxa" w:w="2541"/>
            <w:vAlign w:val="center"/>
          </w:tcPr>
          <w:p>
            <w:r/>
            <w:r>
              <w:rPr>
                <w:rFonts w:ascii="Aptos" w:hAnsi="Aptos"/>
                <w:b w:val="0"/>
                <w:sz w:val="14"/>
              </w:rPr>
              <w:t>TSE</w:t>
            </w:r>
          </w:p>
        </w:tc>
        <w:tc>
          <w:tcPr>
            <w:tcW w:type="dxa" w:w="2541"/>
            <w:vAlign w:val="center"/>
          </w:tcPr>
          <w:p>
            <w:r/>
            <w:r>
              <w:rPr>
                <w:rFonts w:ascii="Aptos" w:hAnsi="Aptos"/>
                <w:b w:val="0"/>
                <w:sz w:val="14"/>
              </w:rPr>
              <w:t>Eleições 2026 - Calendário eleitoral</w:t>
            </w:r>
          </w:p>
        </w:tc>
        <w:tc>
          <w:tcPr>
            <w:tcW w:type="dxa" w:w="2541"/>
            <w:vAlign w:val="center"/>
          </w:tcPr>
          <w:p>
            <w:r/>
            <w:r>
              <w:rPr>
                <w:rFonts w:ascii="Aptos" w:hAnsi="Aptos"/>
                <w:b w:val="0"/>
                <w:sz w:val="14"/>
              </w:rPr>
              <w:t>Datas e períodos oficiais.</w:t>
            </w:r>
          </w:p>
        </w:tc>
        <w:tc>
          <w:tcPr>
            <w:tcW w:type="dxa" w:w="2541"/>
            <w:vAlign w:val="center"/>
          </w:tcPr>
          <w:p>
            <w:r/>
            <w:r>
              <w:rPr>
                <w:rFonts w:ascii="Aptos" w:hAnsi="Aptos"/>
                <w:b w:val="0"/>
                <w:sz w:val="14"/>
              </w:rPr>
              <w:t>https://www.tse.jus.br/eleicoes/calendario-eleitoral</w:t>
            </w:r>
          </w:p>
        </w:tc>
      </w:tr>
      <w:tr>
        <w:tc>
          <w:tcPr>
            <w:tcW w:type="dxa" w:w="2541"/>
            <w:vAlign w:val="center"/>
          </w:tcPr>
          <w:p>
            <w:r/>
            <w:r>
              <w:rPr>
                <w:rFonts w:ascii="Aptos" w:hAnsi="Aptos"/>
                <w:b w:val="0"/>
                <w:sz w:val="14"/>
              </w:rPr>
              <w:t>TSE</w:t>
            </w:r>
          </w:p>
        </w:tc>
        <w:tc>
          <w:tcPr>
            <w:tcW w:type="dxa" w:w="2541"/>
            <w:vAlign w:val="center"/>
          </w:tcPr>
          <w:p>
            <w:r/>
            <w:r>
              <w:rPr>
                <w:rFonts w:ascii="Aptos" w:hAnsi="Aptos"/>
                <w:b w:val="0"/>
                <w:sz w:val="14"/>
              </w:rPr>
              <w:t>Eleições 2026 - Prestação de contas</w:t>
            </w:r>
          </w:p>
        </w:tc>
        <w:tc>
          <w:tcPr>
            <w:tcW w:type="dxa" w:w="2541"/>
            <w:vAlign w:val="center"/>
          </w:tcPr>
          <w:p>
            <w:r/>
            <w:r>
              <w:rPr>
                <w:rFonts w:ascii="Aptos" w:hAnsi="Aptos"/>
                <w:b w:val="0"/>
                <w:sz w:val="14"/>
              </w:rPr>
              <w:t>CNPJ de campanha, gastos, contas e sistemas oficiais.</w:t>
            </w:r>
          </w:p>
        </w:tc>
        <w:tc>
          <w:tcPr>
            <w:tcW w:type="dxa" w:w="2541"/>
            <w:vAlign w:val="center"/>
          </w:tcPr>
          <w:p>
            <w:r/>
            <w:r>
              <w:rPr>
                <w:rFonts w:ascii="Aptos" w:hAnsi="Aptos"/>
                <w:b w:val="0"/>
                <w:sz w:val="14"/>
              </w:rPr>
              <w:t>https://www.tse.jus.br/eleicoes/eleicoes-2026-content/prestacao-de-contas</w:t>
            </w:r>
          </w:p>
        </w:tc>
      </w:tr>
      <w:tr>
        <w:tc>
          <w:tcPr>
            <w:tcW w:type="dxa" w:w="2541"/>
            <w:vAlign w:val="center"/>
          </w:tcPr>
          <w:p>
            <w:r/>
            <w:r>
              <w:rPr>
                <w:rFonts w:ascii="Aptos" w:hAnsi="Aptos"/>
                <w:b w:val="0"/>
                <w:sz w:val="14"/>
              </w:rPr>
              <w:t>TSE</w:t>
            </w:r>
          </w:p>
        </w:tc>
        <w:tc>
          <w:tcPr>
            <w:tcW w:type="dxa" w:w="2541"/>
            <w:vAlign w:val="center"/>
          </w:tcPr>
          <w:p>
            <w:r/>
            <w:r>
              <w:rPr>
                <w:rFonts w:ascii="Aptos" w:hAnsi="Aptos"/>
                <w:b w:val="0"/>
                <w:sz w:val="14"/>
              </w:rPr>
              <w:t>Eleições 2026 - Normas e documentação</w:t>
            </w:r>
          </w:p>
        </w:tc>
        <w:tc>
          <w:tcPr>
            <w:tcW w:type="dxa" w:w="2541"/>
            <w:vAlign w:val="center"/>
          </w:tcPr>
          <w:p>
            <w:r/>
            <w:r>
              <w:rPr>
                <w:rFonts w:ascii="Aptos" w:hAnsi="Aptos"/>
                <w:b w:val="0"/>
                <w:sz w:val="14"/>
              </w:rPr>
              <w:t>Lista consolidada das resoluções aplicáveis ao pleito.</w:t>
            </w:r>
          </w:p>
        </w:tc>
        <w:tc>
          <w:tcPr>
            <w:tcW w:type="dxa" w:w="2541"/>
            <w:vAlign w:val="center"/>
          </w:tcPr>
          <w:p>
            <w:r/>
            <w:r>
              <w:rPr>
                <w:rFonts w:ascii="Aptos" w:hAnsi="Aptos"/>
                <w:b w:val="0"/>
                <w:sz w:val="14"/>
              </w:rPr>
              <w:t>https://www.tse.jus.br/eleicoes/eleicoes-2026-content/normas-e-documentacoes/normas-e-documentacoes-eleicoes-2026</w:t>
            </w:r>
          </w:p>
        </w:tc>
      </w:tr>
    </w:tbl>
    <w:p>
      <w:pPr>
        <w:pStyle w:val="SmallNote"/>
      </w:pPr>
      <w:r>
        <w:t>Base pesquisada em 01/09/2026. A campanha deve considerar a versão mais recente da legislação, atos do TSE/TRE-MG e eventuais decisões judiciais aplicáveis na data da publicação.</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5"/>
      </w:rPr>
      <w:t>Documento técnico de referência | Atualizado em 01/09/2026 | Conferência jurídica recomendada antes de publicar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012EA0"/>
        <w:sz w:val="16"/>
      </w:rPr>
      <w:t>TATÁ BRACHO 7720  |  MANUAL DE CONFORMIDADE ELEITORAL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11555"/>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12EA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0443C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11555"/>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color w:val="5A5A5A"/>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