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Description</w:t>
      </w:r>
    </w:p>
    <w:p w:rsidR="00000000" w:rsidDel="00000000" w:rsidP="00000000" w:rsidRDefault="00000000" w:rsidRPr="00000000" w14:paraId="00000001">
      <w:pPr>
        <w:contextualSpacing w:val="0"/>
        <w:rPr/>
      </w:pPr>
      <w:r w:rsidDel="00000000" w:rsidR="00000000" w:rsidRPr="00000000">
        <w:rPr>
          <w:rtl w:val="0"/>
        </w:rPr>
        <w:t xml:space="preserve">As with technical questions, the business use cases or desired outcomes have been derived from a number of solicitations and market research.  Additional benefits have been pulled from industry providers, but are presented without reference to the provider to avoid conflict of interest or the appearance of unfair advantage.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tbl>
      <w:tblPr>
        <w:tblStyle w:val="Table1"/>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8235"/>
        <w:tblGridChange w:id="0">
          <w:tblGrid>
            <w:gridCol w:w="960"/>
            <w:gridCol w:w="8235"/>
          </w:tblGrid>
        </w:tblGridChange>
      </w:tblGrid>
      <w:tr>
        <w:trPr>
          <w:trHeight w:val="500" w:hRule="atLeast"/>
        </w:trPr>
        <w:tc>
          <w:tcPr>
            <w:tcBorders>
              <w:top w:color="000000" w:space="0" w:sz="0" w:val="nil"/>
              <w:left w:color="000000" w:space="0" w:sz="0" w:val="nil"/>
              <w:bottom w:color="000000" w:space="0" w:sz="0" w:val="nil"/>
              <w:right w:color="000000" w:space="0" w:sz="0" w:val="nil"/>
            </w:tcBorders>
            <w:shd w:fill="1f497d" w:val="clear"/>
            <w:tcMar>
              <w:top w:w="100.0" w:type="dxa"/>
              <w:left w:w="100.0" w:type="dxa"/>
              <w:bottom w:w="100.0" w:type="dxa"/>
              <w:right w:w="100.0" w:type="dxa"/>
            </w:tcMar>
            <w:vAlign w:val="bottom"/>
          </w:tcPr>
          <w:p w:rsidR="00000000" w:rsidDel="00000000" w:rsidP="00000000" w:rsidRDefault="00000000" w:rsidRPr="00000000" w14:paraId="00000005">
            <w:pPr>
              <w:ind w:left="100" w:firstLine="0"/>
              <w:contextualSpacing w:val="0"/>
              <w:jc w:val="center"/>
              <w:rPr>
                <w:b w:val="1"/>
                <w:color w:val="ffffff"/>
              </w:rPr>
            </w:pPr>
            <w:r w:rsidDel="00000000" w:rsidR="00000000" w:rsidRPr="00000000">
              <w:rPr>
                <w:b w:val="1"/>
                <w:color w:val="ffffff"/>
                <w:rtl w:val="0"/>
              </w:rPr>
              <w:t xml:space="preserve">ID#</w:t>
            </w:r>
          </w:p>
        </w:tc>
        <w:tc>
          <w:tcPr>
            <w:tcBorders>
              <w:top w:color="000000" w:space="0" w:sz="0" w:val="nil"/>
              <w:left w:color="000000" w:space="0" w:sz="0" w:val="nil"/>
              <w:bottom w:color="000000" w:space="0" w:sz="0" w:val="nil"/>
              <w:right w:color="000000" w:space="0" w:sz="0" w:val="nil"/>
            </w:tcBorders>
            <w:shd w:fill="1f497d" w:val="clear"/>
            <w:tcMar>
              <w:top w:w="100.0" w:type="dxa"/>
              <w:left w:w="100.0" w:type="dxa"/>
              <w:bottom w:w="100.0" w:type="dxa"/>
              <w:right w:w="100.0" w:type="dxa"/>
            </w:tcMar>
            <w:vAlign w:val="bottom"/>
          </w:tcPr>
          <w:p w:rsidR="00000000" w:rsidDel="00000000" w:rsidP="00000000" w:rsidRDefault="00000000" w:rsidRPr="00000000" w14:paraId="00000006">
            <w:pPr>
              <w:ind w:left="100" w:firstLine="0"/>
              <w:contextualSpacing w:val="0"/>
              <w:rPr>
                <w:b w:val="1"/>
                <w:color w:val="ffffff"/>
                <w:sz w:val="20"/>
                <w:szCs w:val="20"/>
              </w:rPr>
            </w:pPr>
            <w:r w:rsidDel="00000000" w:rsidR="00000000" w:rsidRPr="00000000">
              <w:rPr>
                <w:b w:val="1"/>
                <w:color w:val="ffffff"/>
                <w:sz w:val="20"/>
                <w:szCs w:val="20"/>
                <w:rtl w:val="0"/>
              </w:rPr>
              <w:t xml:space="preserve">Business Use Cases</w:t>
            </w:r>
          </w:p>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ind w:left="100" w:firstLine="0"/>
              <w:contextualSpacing w:val="0"/>
              <w:jc w:val="center"/>
              <w:rPr>
                <w:sz w:val="20"/>
                <w:szCs w:val="20"/>
              </w:rPr>
            </w:pPr>
            <w:r w:rsidDel="00000000" w:rsidR="00000000" w:rsidRPr="00000000">
              <w:rPr>
                <w:sz w:val="20"/>
                <w:szCs w:val="20"/>
                <w:rtl w:val="0"/>
              </w:rPr>
              <w:t xml:space="preserve">BC.1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ind w:left="100" w:firstLine="0"/>
              <w:contextualSpacing w:val="0"/>
              <w:rPr>
                <w:sz w:val="20"/>
                <w:szCs w:val="20"/>
              </w:rPr>
            </w:pPr>
            <w:r w:rsidDel="00000000" w:rsidR="00000000" w:rsidRPr="00000000">
              <w:rPr>
                <w:sz w:val="20"/>
                <w:szCs w:val="20"/>
                <w:rtl w:val="0"/>
              </w:rPr>
              <w:t xml:space="preserve">Obtain Email as a Service via Cloud Offering from a provider that delivers cost-effective, responsive, and efficient management and customer support</w:t>
            </w:r>
          </w:p>
        </w:tc>
      </w:tr>
      <w:tr>
        <w:trPr>
          <w:trHeight w:val="50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09">
            <w:pPr>
              <w:ind w:left="100" w:firstLine="0"/>
              <w:contextualSpacing w:val="0"/>
              <w:jc w:val="center"/>
              <w:rPr>
                <w:sz w:val="20"/>
                <w:szCs w:val="20"/>
              </w:rPr>
            </w:pPr>
            <w:r w:rsidDel="00000000" w:rsidR="00000000" w:rsidRPr="00000000">
              <w:rPr>
                <w:sz w:val="20"/>
                <w:szCs w:val="20"/>
                <w:rtl w:val="0"/>
              </w:rPr>
              <w:t xml:space="preserve">BC.2</w:t>
            </w:r>
          </w:p>
        </w:tc>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bottom"/>
          </w:tcPr>
          <w:p w:rsidR="00000000" w:rsidDel="00000000" w:rsidP="00000000" w:rsidRDefault="00000000" w:rsidRPr="00000000" w14:paraId="0000000A">
            <w:pPr>
              <w:ind w:left="100" w:firstLine="0"/>
              <w:contextualSpacing w:val="0"/>
              <w:rPr>
                <w:sz w:val="20"/>
                <w:szCs w:val="20"/>
              </w:rPr>
            </w:pPr>
            <w:r w:rsidDel="00000000" w:rsidR="00000000" w:rsidRPr="00000000">
              <w:rPr>
                <w:sz w:val="20"/>
                <w:szCs w:val="20"/>
                <w:rtl w:val="0"/>
              </w:rPr>
              <w:t xml:space="preserve">Reduce the government's burden related to the management of Cloud based Email capabilities </w:t>
            </w:r>
          </w:p>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ind w:left="100" w:firstLine="0"/>
              <w:contextualSpacing w:val="0"/>
              <w:jc w:val="center"/>
              <w:rPr>
                <w:sz w:val="20"/>
                <w:szCs w:val="20"/>
              </w:rPr>
            </w:pPr>
            <w:r w:rsidDel="00000000" w:rsidR="00000000" w:rsidRPr="00000000">
              <w:rPr>
                <w:sz w:val="20"/>
                <w:szCs w:val="20"/>
                <w:rtl w:val="0"/>
              </w:rPr>
              <w:t xml:space="preserve">BC.3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ind w:left="100" w:firstLine="0"/>
              <w:contextualSpacing w:val="0"/>
              <w:rPr>
                <w:sz w:val="20"/>
                <w:szCs w:val="20"/>
              </w:rPr>
            </w:pPr>
            <w:r w:rsidDel="00000000" w:rsidR="00000000" w:rsidRPr="00000000">
              <w:rPr>
                <w:sz w:val="20"/>
                <w:szCs w:val="20"/>
                <w:rtl w:val="0"/>
              </w:rPr>
              <w:t xml:space="preserve">Enable controlled, real-time, on-demand, government-initiated provisioning of mailbox and other collaboration suite services</w:t>
            </w:r>
          </w:p>
        </w:tc>
      </w:tr>
      <w:tr>
        <w:trPr>
          <w:trHeight w:val="68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0D">
            <w:pPr>
              <w:ind w:left="100" w:firstLine="0"/>
              <w:contextualSpacing w:val="0"/>
              <w:jc w:val="center"/>
              <w:rPr>
                <w:sz w:val="20"/>
                <w:szCs w:val="20"/>
              </w:rPr>
            </w:pPr>
            <w:r w:rsidDel="00000000" w:rsidR="00000000" w:rsidRPr="00000000">
              <w:rPr>
                <w:sz w:val="20"/>
                <w:szCs w:val="20"/>
                <w:rtl w:val="0"/>
              </w:rPr>
              <w:t xml:space="preserve">BC.4</w:t>
            </w:r>
          </w:p>
        </w:tc>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0E">
            <w:pPr>
              <w:ind w:left="100" w:firstLine="0"/>
              <w:contextualSpacing w:val="0"/>
              <w:rPr>
                <w:sz w:val="20"/>
                <w:szCs w:val="20"/>
              </w:rPr>
            </w:pPr>
            <w:r w:rsidDel="00000000" w:rsidR="00000000" w:rsidRPr="00000000">
              <w:rPr>
                <w:sz w:val="20"/>
                <w:szCs w:val="20"/>
                <w:rtl w:val="0"/>
              </w:rPr>
              <w:t xml:space="preserve">Establish Service Level Agreements with agreed upon service objectives and consequences for failure to satisfy</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ind w:left="100" w:firstLine="0"/>
              <w:contextualSpacing w:val="0"/>
              <w:jc w:val="center"/>
              <w:rPr>
                <w:sz w:val="20"/>
                <w:szCs w:val="20"/>
              </w:rPr>
            </w:pPr>
            <w:r w:rsidDel="00000000" w:rsidR="00000000" w:rsidRPr="00000000">
              <w:rPr>
                <w:sz w:val="20"/>
                <w:szCs w:val="20"/>
                <w:rtl w:val="0"/>
              </w:rPr>
              <w:t xml:space="preserve">BC.5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ind w:left="100" w:firstLine="0"/>
              <w:contextualSpacing w:val="0"/>
              <w:rPr>
                <w:sz w:val="20"/>
                <w:szCs w:val="20"/>
              </w:rPr>
            </w:pPr>
            <w:r w:rsidDel="00000000" w:rsidR="00000000" w:rsidRPr="00000000">
              <w:rPr>
                <w:sz w:val="20"/>
                <w:szCs w:val="20"/>
                <w:rtl w:val="0"/>
              </w:rPr>
              <w:t xml:space="preserve">Provide a web-based "dashboard" that enables 24x7 near real-time monitoring and visibility</w:t>
            </w:r>
          </w:p>
        </w:tc>
      </w:tr>
      <w:tr>
        <w:trPr>
          <w:trHeight w:val="68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11">
            <w:pPr>
              <w:ind w:left="100" w:firstLine="0"/>
              <w:contextualSpacing w:val="0"/>
              <w:jc w:val="center"/>
              <w:rPr>
                <w:sz w:val="20"/>
                <w:szCs w:val="20"/>
              </w:rPr>
            </w:pPr>
            <w:r w:rsidDel="00000000" w:rsidR="00000000" w:rsidRPr="00000000">
              <w:rPr>
                <w:sz w:val="20"/>
                <w:szCs w:val="20"/>
                <w:rtl w:val="0"/>
              </w:rPr>
              <w:t xml:space="preserve">BC.6</w:t>
            </w:r>
          </w:p>
        </w:tc>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12">
            <w:pPr>
              <w:ind w:left="100" w:firstLine="0"/>
              <w:contextualSpacing w:val="0"/>
              <w:rPr>
                <w:sz w:val="20"/>
                <w:szCs w:val="20"/>
              </w:rPr>
            </w:pPr>
            <w:r w:rsidDel="00000000" w:rsidR="00000000" w:rsidRPr="00000000">
              <w:rPr>
                <w:sz w:val="20"/>
                <w:szCs w:val="20"/>
                <w:rtl w:val="0"/>
              </w:rPr>
              <w:t xml:space="preserve">Provide scheduled and ad-hoc reporting on Email as a service performance, service status, and KPIs of the system against the established SLAs</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ind w:left="100" w:firstLine="0"/>
              <w:contextualSpacing w:val="0"/>
              <w:jc w:val="center"/>
              <w:rPr>
                <w:sz w:val="20"/>
                <w:szCs w:val="20"/>
              </w:rPr>
            </w:pPr>
            <w:r w:rsidDel="00000000" w:rsidR="00000000" w:rsidRPr="00000000">
              <w:rPr>
                <w:sz w:val="20"/>
                <w:szCs w:val="20"/>
                <w:rtl w:val="0"/>
              </w:rPr>
              <w:t xml:space="preserve">BC.7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ind w:left="100" w:firstLine="0"/>
              <w:contextualSpacing w:val="0"/>
              <w:rPr>
                <w:sz w:val="20"/>
                <w:szCs w:val="20"/>
              </w:rPr>
            </w:pPr>
            <w:r w:rsidDel="00000000" w:rsidR="00000000" w:rsidRPr="00000000">
              <w:rPr>
                <w:sz w:val="20"/>
                <w:szCs w:val="20"/>
                <w:rtl w:val="0"/>
              </w:rPr>
              <w:t xml:space="preserve">Produce meaningful reporting and analytics that provide up-to-date and comprehensive information regarding technical and management performance.</w:t>
            </w:r>
          </w:p>
        </w:tc>
      </w:tr>
      <w:tr>
        <w:trPr>
          <w:trHeight w:val="80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15">
            <w:pPr>
              <w:ind w:left="100" w:firstLine="0"/>
              <w:contextualSpacing w:val="0"/>
              <w:jc w:val="center"/>
              <w:rPr>
                <w:sz w:val="20"/>
                <w:szCs w:val="20"/>
              </w:rPr>
            </w:pPr>
            <w:r w:rsidDel="00000000" w:rsidR="00000000" w:rsidRPr="00000000">
              <w:rPr>
                <w:sz w:val="20"/>
                <w:szCs w:val="20"/>
                <w:rtl w:val="0"/>
              </w:rPr>
              <w:t xml:space="preserve">BC.8</w:t>
            </w:r>
          </w:p>
        </w:tc>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bottom"/>
          </w:tcPr>
          <w:p w:rsidR="00000000" w:rsidDel="00000000" w:rsidP="00000000" w:rsidRDefault="00000000" w:rsidRPr="00000000" w14:paraId="00000016">
            <w:pPr>
              <w:ind w:left="100" w:firstLine="0"/>
              <w:contextualSpacing w:val="0"/>
              <w:rPr>
                <w:sz w:val="20"/>
                <w:szCs w:val="20"/>
              </w:rPr>
            </w:pPr>
            <w:r w:rsidDel="00000000" w:rsidR="00000000" w:rsidRPr="00000000">
              <w:rPr>
                <w:sz w:val="20"/>
                <w:szCs w:val="20"/>
                <w:rtl w:val="0"/>
              </w:rPr>
              <w:t xml:space="preserve">Provide the ability to establish triggered transactional messages to expedite collaboration and improve operational efficiency</w:t>
            </w:r>
          </w:p>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ind w:left="100" w:firstLine="0"/>
              <w:contextualSpacing w:val="0"/>
              <w:jc w:val="center"/>
              <w:rPr>
                <w:sz w:val="20"/>
                <w:szCs w:val="20"/>
              </w:rPr>
            </w:pPr>
            <w:r w:rsidDel="00000000" w:rsidR="00000000" w:rsidRPr="00000000">
              <w:rPr>
                <w:sz w:val="20"/>
                <w:szCs w:val="20"/>
                <w:rtl w:val="0"/>
              </w:rPr>
              <w:t xml:space="preserve">BC.9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ind w:left="100" w:firstLine="0"/>
              <w:contextualSpacing w:val="0"/>
              <w:rPr>
                <w:sz w:val="20"/>
                <w:szCs w:val="20"/>
              </w:rPr>
            </w:pPr>
            <w:r w:rsidDel="00000000" w:rsidR="00000000" w:rsidRPr="00000000">
              <w:rPr>
                <w:sz w:val="20"/>
                <w:szCs w:val="20"/>
                <w:rtl w:val="0"/>
              </w:rPr>
              <w:t xml:space="preserve">Implement a Help Desk solution that understands the operational complexity of the organization to reduce time from issue intake to resolution</w:t>
            </w:r>
          </w:p>
        </w:tc>
      </w:tr>
      <w:tr>
        <w:trPr>
          <w:trHeight w:val="68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19">
            <w:pPr>
              <w:ind w:left="100" w:firstLine="0"/>
              <w:contextualSpacing w:val="0"/>
              <w:jc w:val="center"/>
              <w:rPr>
                <w:sz w:val="20"/>
                <w:szCs w:val="20"/>
              </w:rPr>
            </w:pPr>
            <w:r w:rsidDel="00000000" w:rsidR="00000000" w:rsidRPr="00000000">
              <w:rPr>
                <w:sz w:val="20"/>
                <w:szCs w:val="20"/>
                <w:rtl w:val="0"/>
              </w:rPr>
              <w:t xml:space="preserve">BC.10</w:t>
            </w:r>
          </w:p>
        </w:tc>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bottom"/>
          </w:tcPr>
          <w:p w:rsidR="00000000" w:rsidDel="00000000" w:rsidP="00000000" w:rsidRDefault="00000000" w:rsidRPr="00000000" w14:paraId="0000001A">
            <w:pPr>
              <w:ind w:left="100" w:firstLine="0"/>
              <w:contextualSpacing w:val="0"/>
              <w:rPr>
                <w:sz w:val="20"/>
                <w:szCs w:val="20"/>
              </w:rPr>
            </w:pPr>
            <w:r w:rsidDel="00000000" w:rsidR="00000000" w:rsidRPr="00000000">
              <w:rPr>
                <w:sz w:val="20"/>
                <w:szCs w:val="20"/>
                <w:rtl w:val="0"/>
              </w:rPr>
              <w:t xml:space="preserve">Provide an EaaS solution that preserves privacy to promote highest levels of trusted collaboration</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ind w:left="100" w:firstLine="0"/>
              <w:contextualSpacing w:val="0"/>
              <w:jc w:val="center"/>
              <w:rPr>
                <w:sz w:val="20"/>
                <w:szCs w:val="20"/>
              </w:rPr>
            </w:pPr>
            <w:r w:rsidDel="00000000" w:rsidR="00000000" w:rsidRPr="00000000">
              <w:rPr>
                <w:sz w:val="20"/>
                <w:szCs w:val="20"/>
                <w:rtl w:val="0"/>
              </w:rPr>
              <w:t xml:space="preserve">BC.11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ind w:left="100" w:firstLine="0"/>
              <w:contextualSpacing w:val="0"/>
              <w:rPr>
                <w:sz w:val="20"/>
                <w:szCs w:val="20"/>
              </w:rPr>
            </w:pPr>
            <w:r w:rsidDel="00000000" w:rsidR="00000000" w:rsidRPr="00000000">
              <w:rPr>
                <w:sz w:val="20"/>
                <w:szCs w:val="20"/>
                <w:rtl w:val="0"/>
              </w:rPr>
              <w:t xml:space="preserve">Provide an EaaS solution that ensures Teleworkers or mobile users have the required connectivity and functionality to accomplish their mission</w:t>
            </w:r>
          </w:p>
        </w:tc>
      </w:tr>
    </w:tbl>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