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Description</w:t>
      </w:r>
    </w:p>
    <w:p w:rsidR="00000000" w:rsidDel="00000000" w:rsidP="00000000" w:rsidRDefault="00000000" w:rsidRPr="00000000" w14:paraId="00000001">
      <w:pPr>
        <w:contextualSpacing w:val="0"/>
        <w:rPr/>
      </w:pPr>
      <w:r w:rsidDel="00000000" w:rsidR="00000000" w:rsidRPr="00000000">
        <w:rPr>
          <w:rtl w:val="0"/>
        </w:rPr>
        <w:t xml:space="preserve">This section provides a Federal employee with a description of the Category along with links to Industry White Papers, Government Use Cases, and relevant articles to help the buyer understand where else the Cloud category has been implemented in the Public Sector and to gain insight via best-practices and lessons learned by their Federal contemporaries and Cloud industry experts.</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drawing>
          <wp:inline distB="114300" distT="114300" distL="114300" distR="114300">
            <wp:extent cx="5743575" cy="40005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43575"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drawing>
          <wp:inline distB="114300" distT="114300" distL="114300" distR="114300">
            <wp:extent cx="5943600" cy="4238625"/>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drawing>
          <wp:inline distB="114300" distT="114300" distL="114300" distR="114300">
            <wp:extent cx="5943600" cy="434340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drawing>
          <wp:inline distB="114300" distT="114300" distL="114300" distR="114300">
            <wp:extent cx="5943600" cy="375285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75285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