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This section is comprised of required SLAs from various solicitations, fact sheets, and market research activities.  While there are constant items across all categories, there are specific considerations for each category.  These specifics are highlighted in yellow in the auto generated requirements document (to be explained next).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tbl>
      <w:tblPr>
        <w:tblStyle w:val="Table1"/>
        <w:tblW w:w="9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80"/>
        <w:tblGridChange w:id="0">
          <w:tblGrid>
            <w:gridCol w:w="9180"/>
          </w:tblGrid>
        </w:tblGridChange>
      </w:tblGrid>
      <w:tr>
        <w:trPr>
          <w:trHeight w:val="500" w:hRule="atLeast"/>
        </w:trPr>
        <w:tc>
          <w:tcPr>
            <w:tcBorders>
              <w:top w:color="000000" w:space="0" w:sz="0" w:val="nil"/>
              <w:left w:color="000000" w:space="0" w:sz="0" w:val="nil"/>
              <w:bottom w:color="000000" w:space="0" w:sz="0" w:val="nil"/>
              <w:right w:color="000000" w:space="0" w:sz="0" w:val="nil"/>
            </w:tcBorders>
            <w:shd w:fill="1f497d" w:val="clear"/>
            <w:tcMar>
              <w:top w:w="100.0" w:type="dxa"/>
              <w:left w:w="100.0" w:type="dxa"/>
              <w:bottom w:w="100.0" w:type="dxa"/>
              <w:right w:w="100.0" w:type="dxa"/>
            </w:tcMar>
            <w:vAlign w:val="top"/>
          </w:tcPr>
          <w:p w:rsidR="00000000" w:rsidDel="00000000" w:rsidP="00000000" w:rsidRDefault="00000000" w:rsidRPr="00000000" w14:paraId="00000004">
            <w:pPr>
              <w:ind w:left="100" w:firstLine="0"/>
              <w:contextualSpacing w:val="0"/>
              <w:rPr>
                <w:b w:val="1"/>
                <w:color w:val="ffffff"/>
                <w:sz w:val="20"/>
                <w:szCs w:val="20"/>
              </w:rPr>
            </w:pPr>
            <w:r w:rsidDel="00000000" w:rsidR="00000000" w:rsidRPr="00000000">
              <w:rPr>
                <w:b w:val="1"/>
                <w:color w:val="ffffff"/>
                <w:sz w:val="20"/>
                <w:szCs w:val="20"/>
                <w:rtl w:val="0"/>
              </w:rPr>
              <w:t xml:space="preserve">Recommended Service Level Agreements</w:t>
            </w:r>
          </w:p>
        </w:tc>
      </w:tr>
      <w:tr>
        <w:trPr>
          <w:trHeight w:val="7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ind w:left="100" w:firstLine="0"/>
              <w:contextualSpacing w:val="0"/>
              <w:rPr>
                <w:sz w:val="20"/>
                <w:szCs w:val="20"/>
              </w:rPr>
            </w:pPr>
            <w:r w:rsidDel="00000000" w:rsidR="00000000" w:rsidRPr="00000000">
              <w:rPr>
                <w:sz w:val="20"/>
                <w:szCs w:val="20"/>
                <w:rtl w:val="0"/>
              </w:rPr>
              <w:t xml:space="preserve">Maintain a redundant e-mail and collaboration infrastructure in geographically disparate locations to ensure access for employees in the event of failure at one provider location</w:t>
            </w:r>
          </w:p>
        </w:tc>
      </w:tr>
      <w:tr>
        <w:trPr>
          <w:trHeight w:val="500" w:hRule="atLeast"/>
        </w:trPr>
        <w:tc>
          <w:tcPr>
            <w:tcBorders>
              <w:top w:color="000000" w:space="0" w:sz="0" w:val="nil"/>
              <w:left w:color="000000" w:space="0" w:sz="0" w:val="nil"/>
              <w:bottom w:color="000000" w:space="0" w:sz="0" w:val="nil"/>
              <w:right w:color="000000" w:space="0" w:sz="0" w:val="nil"/>
            </w:tcBorders>
            <w:shd w:fill="c5d9f1" w:val="clear"/>
            <w:tcMar>
              <w:top w:w="100.0" w:type="dxa"/>
              <w:left w:w="100.0" w:type="dxa"/>
              <w:bottom w:w="100.0" w:type="dxa"/>
              <w:right w:w="100.0" w:type="dxa"/>
            </w:tcMar>
            <w:vAlign w:val="top"/>
          </w:tcPr>
          <w:p w:rsidR="00000000" w:rsidDel="00000000" w:rsidP="00000000" w:rsidRDefault="00000000" w:rsidRPr="00000000" w14:paraId="00000006">
            <w:pPr>
              <w:ind w:left="100" w:firstLine="0"/>
              <w:contextualSpacing w:val="0"/>
              <w:rPr>
                <w:sz w:val="20"/>
                <w:szCs w:val="20"/>
              </w:rPr>
            </w:pPr>
            <w:r w:rsidDel="00000000" w:rsidR="00000000" w:rsidRPr="00000000">
              <w:rPr>
                <w:sz w:val="20"/>
                <w:szCs w:val="20"/>
                <w:rtl w:val="0"/>
              </w:rPr>
              <w:t xml:space="preserve">Include effective contingency planning - including backup and recovery capabilities</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ind w:left="100" w:firstLine="0"/>
              <w:contextualSpacing w:val="0"/>
              <w:rPr>
                <w:sz w:val="20"/>
                <w:szCs w:val="20"/>
              </w:rPr>
            </w:pPr>
            <w:r w:rsidDel="00000000" w:rsidR="00000000" w:rsidRPr="00000000">
              <w:rPr>
                <w:sz w:val="20"/>
                <w:szCs w:val="20"/>
                <w:rtl w:val="0"/>
              </w:rPr>
              <w:t xml:space="preserve">Provide 99.9% availability with an acceptable applied penalty schedule</w:t>
            </w:r>
          </w:p>
        </w:tc>
      </w:tr>
      <w:tr>
        <w:trPr>
          <w:trHeight w:val="700" w:hRule="atLeast"/>
        </w:trPr>
        <w:tc>
          <w:tcPr>
            <w:tcBorders>
              <w:top w:color="000000" w:space="0" w:sz="0" w:val="nil"/>
              <w:left w:color="000000" w:space="0" w:sz="0" w:val="nil"/>
              <w:bottom w:color="000000" w:space="0" w:sz="0" w:val="nil"/>
              <w:right w:color="000000" w:space="0" w:sz="0" w:val="nil"/>
            </w:tcBorders>
            <w:shd w:fill="c5d9f1" w:val="clear"/>
            <w:tcMar>
              <w:top w:w="100.0" w:type="dxa"/>
              <w:left w:w="100.0" w:type="dxa"/>
              <w:bottom w:w="100.0" w:type="dxa"/>
              <w:right w:w="100.0" w:type="dxa"/>
            </w:tcMar>
            <w:vAlign w:val="top"/>
          </w:tcPr>
          <w:p w:rsidR="00000000" w:rsidDel="00000000" w:rsidP="00000000" w:rsidRDefault="00000000" w:rsidRPr="00000000" w14:paraId="00000008">
            <w:pPr>
              <w:ind w:left="100" w:firstLine="0"/>
              <w:contextualSpacing w:val="0"/>
              <w:rPr>
                <w:sz w:val="20"/>
                <w:szCs w:val="20"/>
              </w:rPr>
            </w:pPr>
            <w:r w:rsidDel="00000000" w:rsidR="00000000" w:rsidRPr="00000000">
              <w:rPr>
                <w:sz w:val="20"/>
                <w:szCs w:val="20"/>
                <w:rtl w:val="0"/>
              </w:rPr>
              <w:t xml:space="preserve">Provide email and collaboration services that are dependable and provide response rates that are consistent with industry standards</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ind w:left="100" w:firstLine="0"/>
              <w:contextualSpacing w:val="0"/>
              <w:rPr>
                <w:sz w:val="20"/>
                <w:szCs w:val="20"/>
              </w:rPr>
            </w:pPr>
            <w:r w:rsidDel="00000000" w:rsidR="00000000" w:rsidRPr="00000000">
              <w:rPr>
                <w:sz w:val="20"/>
                <w:szCs w:val="20"/>
                <w:rtl w:val="0"/>
              </w:rPr>
              <w:t xml:space="preserve">Prevent the loss of data, service degradation, and/or service disruption in the event of planned or unplanned outage</w:t>
            </w:r>
          </w:p>
        </w:tc>
      </w:tr>
      <w:tr>
        <w:trPr>
          <w:trHeight w:val="680" w:hRule="atLeast"/>
        </w:trPr>
        <w:tc>
          <w:tcPr>
            <w:tcBorders>
              <w:top w:color="000000" w:space="0" w:sz="0" w:val="nil"/>
              <w:left w:color="000000" w:space="0" w:sz="0" w:val="nil"/>
              <w:bottom w:color="000000" w:space="0" w:sz="0" w:val="nil"/>
              <w:right w:color="000000" w:space="0" w:sz="0" w:val="nil"/>
            </w:tcBorders>
            <w:shd w:fill="c5d9f1" w:val="clear"/>
            <w:tcMar>
              <w:top w:w="100.0" w:type="dxa"/>
              <w:left w:w="100.0" w:type="dxa"/>
              <w:bottom w:w="100.0" w:type="dxa"/>
              <w:right w:w="100.0" w:type="dxa"/>
            </w:tcMar>
            <w:vAlign w:val="top"/>
          </w:tcPr>
          <w:p w:rsidR="00000000" w:rsidDel="00000000" w:rsidP="00000000" w:rsidRDefault="00000000" w:rsidRPr="00000000" w14:paraId="0000000A">
            <w:pPr>
              <w:ind w:left="100" w:firstLine="0"/>
              <w:contextualSpacing w:val="0"/>
              <w:rPr>
                <w:sz w:val="20"/>
                <w:szCs w:val="20"/>
              </w:rPr>
            </w:pPr>
            <w:r w:rsidDel="00000000" w:rsidR="00000000" w:rsidRPr="00000000">
              <w:rPr>
                <w:sz w:val="20"/>
                <w:szCs w:val="20"/>
                <w:rtl w:val="0"/>
              </w:rPr>
              <w:t xml:space="preserve">Provide 24 hours per day, seven days a week, 52 weeks a year troubleshooting service and support for inquiries, outages, and issue resolutions</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ind w:left="100" w:firstLine="0"/>
              <w:contextualSpacing w:val="0"/>
              <w:rPr>
                <w:sz w:val="20"/>
                <w:szCs w:val="20"/>
              </w:rPr>
            </w:pPr>
            <w:r w:rsidDel="00000000" w:rsidR="00000000" w:rsidRPr="00000000">
              <w:rPr>
                <w:sz w:val="20"/>
                <w:szCs w:val="20"/>
                <w:rtl w:val="0"/>
              </w:rPr>
              <w:t xml:space="preserve">Comply with Federally mandated IPv6 requirements for public facing services</w:t>
            </w:r>
          </w:p>
        </w:tc>
      </w:tr>
      <w:tr>
        <w:trPr>
          <w:trHeight w:val="720" w:hRule="atLeast"/>
        </w:trPr>
        <w:tc>
          <w:tcPr>
            <w:tcBorders>
              <w:top w:color="000000" w:space="0" w:sz="0" w:val="nil"/>
              <w:left w:color="000000" w:space="0" w:sz="0" w:val="nil"/>
              <w:bottom w:color="000000" w:space="0" w:sz="0" w:val="nil"/>
              <w:right w:color="000000" w:space="0" w:sz="0" w:val="nil"/>
            </w:tcBorders>
            <w:shd w:fill="c5d9f1" w:val="clear"/>
            <w:tcMar>
              <w:top w:w="100.0" w:type="dxa"/>
              <w:left w:w="100.0" w:type="dxa"/>
              <w:bottom w:w="100.0" w:type="dxa"/>
              <w:right w:w="100.0" w:type="dxa"/>
            </w:tcMar>
            <w:vAlign w:val="bottom"/>
          </w:tcPr>
          <w:p w:rsidR="00000000" w:rsidDel="00000000" w:rsidP="00000000" w:rsidRDefault="00000000" w:rsidRPr="00000000" w14:paraId="0000000C">
            <w:pPr>
              <w:ind w:left="100" w:firstLine="0"/>
              <w:contextualSpacing w:val="0"/>
              <w:rPr>
                <w:sz w:val="20"/>
                <w:szCs w:val="20"/>
              </w:rPr>
            </w:pPr>
            <w:r w:rsidDel="00000000" w:rsidR="00000000" w:rsidRPr="00000000">
              <w:rPr>
                <w:sz w:val="20"/>
                <w:szCs w:val="20"/>
                <w:rtl w:val="0"/>
              </w:rPr>
              <w:t xml:space="preserve">Meet the National Archives Records Administration (NARA) requirements for records management, and requirements for the Secret Enclave delivery model</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D">
            <w:pPr>
              <w:ind w:left="100" w:firstLine="0"/>
              <w:contextualSpacing w:val="0"/>
              <w:rPr>
                <w:sz w:val="20"/>
                <w:szCs w:val="20"/>
              </w:rPr>
            </w:pPr>
            <w:r w:rsidDel="00000000" w:rsidR="00000000" w:rsidRPr="00000000">
              <w:rPr>
                <w:sz w:val="20"/>
                <w:szCs w:val="20"/>
                <w:rtl w:val="0"/>
              </w:rPr>
              <w:t xml:space="preserve">Provide Scalability-on-Demand</w:t>
            </w:r>
          </w:p>
        </w:tc>
      </w:tr>
      <w:tr>
        <w:trPr>
          <w:trHeight w:val="700" w:hRule="atLeast"/>
        </w:trPr>
        <w:tc>
          <w:tcPr>
            <w:tcBorders>
              <w:top w:color="000000" w:space="0" w:sz="0" w:val="nil"/>
              <w:left w:color="000000" w:space="0" w:sz="0" w:val="nil"/>
              <w:bottom w:color="000000" w:space="0" w:sz="0" w:val="nil"/>
              <w:right w:color="000000" w:space="0" w:sz="0" w:val="nil"/>
            </w:tcBorders>
            <w:shd w:fill="c5d9f1" w:val="clear"/>
            <w:tcMar>
              <w:top w:w="100.0" w:type="dxa"/>
              <w:left w:w="100.0" w:type="dxa"/>
              <w:bottom w:w="100.0" w:type="dxa"/>
              <w:right w:w="100.0" w:type="dxa"/>
            </w:tcMar>
            <w:vAlign w:val="top"/>
          </w:tcPr>
          <w:p w:rsidR="00000000" w:rsidDel="00000000" w:rsidP="00000000" w:rsidRDefault="00000000" w:rsidRPr="00000000" w14:paraId="0000000E">
            <w:pPr>
              <w:ind w:left="100" w:firstLine="0"/>
              <w:contextualSpacing w:val="0"/>
              <w:rPr>
                <w:sz w:val="20"/>
                <w:szCs w:val="20"/>
              </w:rPr>
            </w:pPr>
            <w:r w:rsidDel="00000000" w:rsidR="00000000" w:rsidRPr="00000000">
              <w:rPr>
                <w:sz w:val="20"/>
                <w:szCs w:val="20"/>
                <w:rtl w:val="0"/>
              </w:rPr>
              <w:t xml:space="preserve">Provide mandatory deliverability, strictly following legal guidelines and receipt reporting better than or equal to USPS certified mail</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ind w:left="100" w:firstLine="0"/>
              <w:contextualSpacing w:val="0"/>
              <w:rPr>
                <w:sz w:val="20"/>
                <w:szCs w:val="20"/>
              </w:rPr>
            </w:pPr>
            <w:r w:rsidDel="00000000" w:rsidR="00000000" w:rsidRPr="00000000">
              <w:rPr>
                <w:sz w:val="20"/>
                <w:szCs w:val="20"/>
                <w:rtl w:val="0"/>
              </w:rPr>
              <w:t xml:space="preserve">Provide best-in-class option to exchange billing, increase office efficiencies, and decrease the billing cycle</w:t>
            </w:r>
          </w:p>
        </w:tc>
      </w:tr>
      <w:tr>
        <w:trPr>
          <w:trHeight w:val="700" w:hRule="atLeast"/>
        </w:trPr>
        <w:tc>
          <w:tcPr>
            <w:tcBorders>
              <w:top w:color="000000" w:space="0" w:sz="0" w:val="nil"/>
              <w:left w:color="000000" w:space="0" w:sz="0" w:val="nil"/>
              <w:bottom w:color="000000" w:space="0" w:sz="0" w:val="nil"/>
              <w:right w:color="000000" w:space="0" w:sz="0" w:val="nil"/>
            </w:tcBorders>
            <w:shd w:fill="c5d9f1" w:val="clear"/>
            <w:tcMar>
              <w:top w:w="100.0" w:type="dxa"/>
              <w:left w:w="100.0" w:type="dxa"/>
              <w:bottom w:w="100.0" w:type="dxa"/>
              <w:right w:w="100.0" w:type="dxa"/>
            </w:tcMar>
            <w:vAlign w:val="top"/>
          </w:tcPr>
          <w:p w:rsidR="00000000" w:rsidDel="00000000" w:rsidP="00000000" w:rsidRDefault="00000000" w:rsidRPr="00000000" w14:paraId="00000010">
            <w:pPr>
              <w:ind w:left="100" w:firstLine="0"/>
              <w:contextualSpacing w:val="0"/>
              <w:rPr>
                <w:sz w:val="20"/>
                <w:szCs w:val="20"/>
              </w:rPr>
            </w:pPr>
            <w:r w:rsidDel="00000000" w:rsidR="00000000" w:rsidRPr="00000000">
              <w:rPr>
                <w:sz w:val="20"/>
                <w:szCs w:val="20"/>
                <w:rtl w:val="0"/>
              </w:rPr>
              <w:t xml:space="preserve">Shorten the notification time from months to days and provide receipt reporting better than or equal to USPS certified mail, or whatever represents the mandated timeline for delivery</w:t>
            </w:r>
          </w:p>
        </w:tc>
      </w:tr>
      <w:tr>
        <w:trPr>
          <w:trHeight w:val="7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ind w:left="100" w:firstLine="0"/>
              <w:contextualSpacing w:val="0"/>
              <w:rPr>
                <w:sz w:val="20"/>
                <w:szCs w:val="20"/>
              </w:rPr>
            </w:pPr>
            <w:r w:rsidDel="00000000" w:rsidR="00000000" w:rsidRPr="00000000">
              <w:rPr>
                <w:sz w:val="20"/>
                <w:szCs w:val="20"/>
                <w:rtl w:val="0"/>
              </w:rPr>
              <w:t xml:space="preserve">In addition to the above specific requirements, recommend vendor provide description of the following industry best practices for Email as a Service:</w:t>
            </w:r>
          </w:p>
          <w:p w:rsidR="00000000" w:rsidDel="00000000" w:rsidP="00000000" w:rsidRDefault="00000000" w:rsidRPr="00000000" w14:paraId="00000012">
            <w:pPr>
              <w:ind w:left="100" w:firstLine="0"/>
              <w:contextualSpacing w:val="0"/>
              <w:rPr>
                <w:b w:val="1"/>
                <w:sz w:val="20"/>
                <w:szCs w:val="20"/>
              </w:rPr>
            </w:pPr>
            <w:r w:rsidDel="00000000" w:rsidR="00000000" w:rsidRPr="00000000">
              <w:rPr>
                <w:b w:val="1"/>
                <w:sz w:val="20"/>
                <w:szCs w:val="20"/>
                <w:rtl w:val="0"/>
              </w:rPr>
              <w:t xml:space="preserve">1. Technical Support</w:t>
            </w:r>
          </w:p>
          <w:p w:rsidR="00000000" w:rsidDel="00000000" w:rsidP="00000000" w:rsidRDefault="00000000" w:rsidRPr="00000000" w14:paraId="00000013">
            <w:pPr>
              <w:ind w:left="100" w:firstLine="0"/>
              <w:contextualSpacing w:val="0"/>
              <w:rPr>
                <w:sz w:val="20"/>
                <w:szCs w:val="20"/>
              </w:rPr>
            </w:pPr>
            <w:r w:rsidDel="00000000" w:rsidR="00000000" w:rsidRPr="00000000">
              <w:rPr>
                <w:sz w:val="20"/>
                <w:szCs w:val="20"/>
                <w:rtl w:val="0"/>
              </w:rPr>
              <w:t xml:space="preserve">  • Disaster Recovery</w:t>
            </w:r>
          </w:p>
          <w:p w:rsidR="00000000" w:rsidDel="00000000" w:rsidP="00000000" w:rsidRDefault="00000000" w:rsidRPr="00000000" w14:paraId="00000014">
            <w:pPr>
              <w:ind w:left="100" w:firstLine="0"/>
              <w:contextualSpacing w:val="0"/>
              <w:rPr>
                <w:sz w:val="20"/>
                <w:szCs w:val="20"/>
              </w:rPr>
            </w:pPr>
            <w:r w:rsidDel="00000000" w:rsidR="00000000" w:rsidRPr="00000000">
              <w:rPr>
                <w:sz w:val="20"/>
                <w:szCs w:val="20"/>
                <w:rtl w:val="0"/>
              </w:rPr>
              <w:t xml:space="preserve">  • Restoration</w:t>
            </w:r>
          </w:p>
          <w:p w:rsidR="00000000" w:rsidDel="00000000" w:rsidP="00000000" w:rsidRDefault="00000000" w:rsidRPr="00000000" w14:paraId="00000015">
            <w:pPr>
              <w:ind w:left="100" w:firstLine="0"/>
              <w:contextualSpacing w:val="0"/>
              <w:rPr>
                <w:sz w:val="20"/>
                <w:szCs w:val="20"/>
              </w:rPr>
            </w:pPr>
            <w:r w:rsidDel="00000000" w:rsidR="00000000" w:rsidRPr="00000000">
              <w:rPr>
                <w:sz w:val="20"/>
                <w:szCs w:val="20"/>
                <w:rtl w:val="0"/>
              </w:rPr>
              <w:t xml:space="preserve">  • Public/Personal Mailbox Size Limits</w:t>
            </w:r>
          </w:p>
          <w:p w:rsidR="00000000" w:rsidDel="00000000" w:rsidP="00000000" w:rsidRDefault="00000000" w:rsidRPr="00000000" w14:paraId="00000016">
            <w:pPr>
              <w:ind w:left="100" w:firstLine="0"/>
              <w:contextualSpacing w:val="0"/>
              <w:rPr>
                <w:sz w:val="20"/>
                <w:szCs w:val="20"/>
              </w:rPr>
            </w:pPr>
            <w:r w:rsidDel="00000000" w:rsidR="00000000" w:rsidRPr="00000000">
              <w:rPr>
                <w:sz w:val="20"/>
                <w:szCs w:val="20"/>
                <w:rtl w:val="0"/>
              </w:rPr>
              <w:t xml:space="preserve">  • Email Volume Limits</w:t>
            </w:r>
          </w:p>
          <w:p w:rsidR="00000000" w:rsidDel="00000000" w:rsidP="00000000" w:rsidRDefault="00000000" w:rsidRPr="00000000" w14:paraId="00000017">
            <w:pPr>
              <w:ind w:left="100" w:firstLine="0"/>
              <w:contextualSpacing w:val="0"/>
              <w:rPr>
                <w:sz w:val="20"/>
                <w:szCs w:val="20"/>
              </w:rPr>
            </w:pPr>
            <w:r w:rsidDel="00000000" w:rsidR="00000000" w:rsidRPr="00000000">
              <w:rPr>
                <w:sz w:val="20"/>
                <w:szCs w:val="20"/>
                <w:rtl w:val="0"/>
              </w:rPr>
              <w:t xml:space="preserve"> • Inactive/Disabled Account Policy</w:t>
            </w:r>
          </w:p>
          <w:p w:rsidR="00000000" w:rsidDel="00000000" w:rsidP="00000000" w:rsidRDefault="00000000" w:rsidRPr="00000000" w14:paraId="00000018">
            <w:pPr>
              <w:ind w:left="100" w:firstLine="0"/>
              <w:contextualSpacing w:val="0"/>
              <w:rPr>
                <w:b w:val="1"/>
                <w:sz w:val="20"/>
                <w:szCs w:val="20"/>
              </w:rPr>
            </w:pPr>
            <w:r w:rsidDel="00000000" w:rsidR="00000000" w:rsidRPr="00000000">
              <w:rPr>
                <w:b w:val="1"/>
                <w:sz w:val="20"/>
                <w:szCs w:val="20"/>
                <w:rtl w:val="0"/>
              </w:rPr>
              <w:t xml:space="preserve">2. Support and Other Services</w:t>
            </w:r>
          </w:p>
          <w:p w:rsidR="00000000" w:rsidDel="00000000" w:rsidP="00000000" w:rsidRDefault="00000000" w:rsidRPr="00000000" w14:paraId="00000019">
            <w:pPr>
              <w:ind w:left="100" w:firstLine="0"/>
              <w:contextualSpacing w:val="0"/>
              <w:rPr>
                <w:sz w:val="20"/>
                <w:szCs w:val="20"/>
              </w:rPr>
            </w:pPr>
            <w:r w:rsidDel="00000000" w:rsidR="00000000" w:rsidRPr="00000000">
              <w:rPr>
                <w:sz w:val="20"/>
                <w:szCs w:val="20"/>
                <w:rtl w:val="0"/>
              </w:rPr>
              <w:t xml:space="preserve">  • Systems Support</w:t>
            </w:r>
          </w:p>
          <w:p w:rsidR="00000000" w:rsidDel="00000000" w:rsidP="00000000" w:rsidRDefault="00000000" w:rsidRPr="00000000" w14:paraId="0000001A">
            <w:pPr>
              <w:ind w:left="100" w:firstLine="0"/>
              <w:contextualSpacing w:val="0"/>
              <w:rPr>
                <w:sz w:val="20"/>
                <w:szCs w:val="20"/>
              </w:rPr>
            </w:pPr>
            <w:r w:rsidDel="00000000" w:rsidR="00000000" w:rsidRPr="00000000">
              <w:rPr>
                <w:sz w:val="20"/>
                <w:szCs w:val="20"/>
                <w:rtl w:val="0"/>
              </w:rPr>
              <w:t xml:space="preserve">  • End-User Support</w:t>
            </w:r>
          </w:p>
          <w:p w:rsidR="00000000" w:rsidDel="00000000" w:rsidP="00000000" w:rsidRDefault="00000000" w:rsidRPr="00000000" w14:paraId="0000001B">
            <w:pPr>
              <w:ind w:left="100" w:firstLine="0"/>
              <w:contextualSpacing w:val="0"/>
              <w:rPr>
                <w:sz w:val="20"/>
                <w:szCs w:val="20"/>
              </w:rPr>
            </w:pPr>
            <w:r w:rsidDel="00000000" w:rsidR="00000000" w:rsidRPr="00000000">
              <w:rPr>
                <w:sz w:val="20"/>
                <w:szCs w:val="20"/>
                <w:rtl w:val="0"/>
              </w:rPr>
              <w:t xml:space="preserve">  • Account Administration</w:t>
            </w:r>
          </w:p>
          <w:p w:rsidR="00000000" w:rsidDel="00000000" w:rsidP="00000000" w:rsidRDefault="00000000" w:rsidRPr="00000000" w14:paraId="0000001C">
            <w:pPr>
              <w:ind w:left="100" w:firstLine="0"/>
              <w:contextualSpacing w:val="0"/>
              <w:rPr>
                <w:sz w:val="20"/>
                <w:szCs w:val="20"/>
              </w:rPr>
            </w:pPr>
            <w:r w:rsidDel="00000000" w:rsidR="00000000" w:rsidRPr="00000000">
              <w:rPr>
                <w:sz w:val="20"/>
                <w:szCs w:val="20"/>
                <w:rtl w:val="0"/>
              </w:rPr>
              <w:t xml:space="preserve">  • Wireless Service Support</w:t>
            </w:r>
          </w:p>
          <w:p w:rsidR="00000000" w:rsidDel="00000000" w:rsidP="00000000" w:rsidRDefault="00000000" w:rsidRPr="00000000" w14:paraId="0000001D">
            <w:pPr>
              <w:ind w:left="100" w:firstLine="0"/>
              <w:contextualSpacing w:val="0"/>
              <w:rPr>
                <w:b w:val="1"/>
                <w:sz w:val="20"/>
                <w:szCs w:val="20"/>
              </w:rPr>
            </w:pPr>
            <w:r w:rsidDel="00000000" w:rsidR="00000000" w:rsidRPr="00000000">
              <w:rPr>
                <w:b w:val="1"/>
                <w:sz w:val="20"/>
                <w:szCs w:val="20"/>
                <w:rtl w:val="0"/>
              </w:rPr>
              <w:t xml:space="preserve">3. Optional Support Services</w:t>
            </w:r>
          </w:p>
          <w:p w:rsidR="00000000" w:rsidDel="00000000" w:rsidP="00000000" w:rsidRDefault="00000000" w:rsidRPr="00000000" w14:paraId="0000001E">
            <w:pPr>
              <w:ind w:left="100" w:firstLine="0"/>
              <w:contextualSpacing w:val="0"/>
              <w:rPr>
                <w:sz w:val="20"/>
                <w:szCs w:val="20"/>
              </w:rPr>
            </w:pPr>
            <w:r w:rsidDel="00000000" w:rsidR="00000000" w:rsidRPr="00000000">
              <w:rPr>
                <w:sz w:val="20"/>
                <w:szCs w:val="20"/>
                <w:rtl w:val="0"/>
              </w:rPr>
              <w:t xml:space="preserve">  • Application Development</w:t>
            </w:r>
          </w:p>
          <w:p w:rsidR="00000000" w:rsidDel="00000000" w:rsidP="00000000" w:rsidRDefault="00000000" w:rsidRPr="00000000" w14:paraId="0000001F">
            <w:pPr>
              <w:ind w:left="100" w:firstLine="0"/>
              <w:contextualSpacing w:val="0"/>
              <w:rPr>
                <w:sz w:val="20"/>
                <w:szCs w:val="20"/>
              </w:rPr>
            </w:pPr>
            <w:r w:rsidDel="00000000" w:rsidR="00000000" w:rsidRPr="00000000">
              <w:rPr>
                <w:sz w:val="20"/>
                <w:szCs w:val="20"/>
                <w:rtl w:val="0"/>
              </w:rPr>
              <w:t xml:space="preserve">  • Form Design</w:t>
            </w:r>
          </w:p>
          <w:p w:rsidR="00000000" w:rsidDel="00000000" w:rsidP="00000000" w:rsidRDefault="00000000" w:rsidRPr="00000000" w14:paraId="00000020">
            <w:pPr>
              <w:ind w:left="100" w:firstLine="0"/>
              <w:contextualSpacing w:val="0"/>
              <w:rPr>
                <w:sz w:val="20"/>
                <w:szCs w:val="20"/>
              </w:rPr>
            </w:pPr>
            <w:r w:rsidDel="00000000" w:rsidR="00000000" w:rsidRPr="00000000">
              <w:rPr>
                <w:sz w:val="20"/>
                <w:szCs w:val="20"/>
                <w:rtl w:val="0"/>
              </w:rPr>
              <w:t xml:space="preserve">  • Data Migration</w:t>
            </w:r>
          </w:p>
          <w:p w:rsidR="00000000" w:rsidDel="00000000" w:rsidP="00000000" w:rsidRDefault="00000000" w:rsidRPr="00000000" w14:paraId="00000021">
            <w:pPr>
              <w:ind w:left="100" w:firstLine="0"/>
              <w:contextualSpacing w:val="0"/>
              <w:rPr>
                <w:b w:val="1"/>
                <w:sz w:val="20"/>
                <w:szCs w:val="20"/>
              </w:rPr>
            </w:pPr>
            <w:r w:rsidDel="00000000" w:rsidR="00000000" w:rsidRPr="00000000">
              <w:rPr>
                <w:b w:val="1"/>
                <w:sz w:val="20"/>
                <w:szCs w:val="20"/>
                <w:rtl w:val="0"/>
              </w:rPr>
              <w:t xml:space="preserve">4. Service Levels/Penalties</w:t>
            </w:r>
          </w:p>
          <w:p w:rsidR="00000000" w:rsidDel="00000000" w:rsidP="00000000" w:rsidRDefault="00000000" w:rsidRPr="00000000" w14:paraId="00000022">
            <w:pPr>
              <w:ind w:left="100" w:firstLine="0"/>
              <w:contextualSpacing w:val="0"/>
              <w:rPr>
                <w:sz w:val="20"/>
                <w:szCs w:val="20"/>
              </w:rPr>
            </w:pPr>
            <w:r w:rsidDel="00000000" w:rsidR="00000000" w:rsidRPr="00000000">
              <w:rPr>
                <w:sz w:val="20"/>
                <w:szCs w:val="20"/>
                <w:rtl w:val="0"/>
              </w:rPr>
              <w:t xml:space="preserve">  • Application Service Availability</w:t>
            </w:r>
          </w:p>
          <w:p w:rsidR="00000000" w:rsidDel="00000000" w:rsidP="00000000" w:rsidRDefault="00000000" w:rsidRPr="00000000" w14:paraId="00000023">
            <w:pPr>
              <w:ind w:left="100" w:firstLine="0"/>
              <w:contextualSpacing w:val="0"/>
              <w:rPr>
                <w:sz w:val="20"/>
                <w:szCs w:val="20"/>
              </w:rPr>
            </w:pPr>
            <w:r w:rsidDel="00000000" w:rsidR="00000000" w:rsidRPr="00000000">
              <w:rPr>
                <w:sz w:val="20"/>
                <w:szCs w:val="20"/>
                <w:rtl w:val="0"/>
              </w:rPr>
              <w:t xml:space="preserve">  • Network Availability</w:t>
            </w:r>
          </w:p>
          <w:p w:rsidR="00000000" w:rsidDel="00000000" w:rsidP="00000000" w:rsidRDefault="00000000" w:rsidRPr="00000000" w14:paraId="00000024">
            <w:pPr>
              <w:ind w:left="100" w:firstLine="0"/>
              <w:contextualSpacing w:val="0"/>
              <w:rPr>
                <w:sz w:val="20"/>
                <w:szCs w:val="20"/>
              </w:rPr>
            </w:pPr>
            <w:r w:rsidDel="00000000" w:rsidR="00000000" w:rsidRPr="00000000">
              <w:rPr>
                <w:sz w:val="20"/>
                <w:szCs w:val="20"/>
                <w:rtl w:val="0"/>
              </w:rPr>
              <w:t xml:space="preserve">  • Mail Server Availability</w:t>
            </w:r>
          </w:p>
          <w:p w:rsidR="00000000" w:rsidDel="00000000" w:rsidP="00000000" w:rsidRDefault="00000000" w:rsidRPr="00000000" w14:paraId="00000025">
            <w:pPr>
              <w:ind w:left="100" w:firstLine="0"/>
              <w:contextualSpacing w:val="0"/>
              <w:rPr>
                <w:sz w:val="20"/>
                <w:szCs w:val="20"/>
              </w:rPr>
            </w:pPr>
            <w:r w:rsidDel="00000000" w:rsidR="00000000" w:rsidRPr="00000000">
              <w:rPr>
                <w:sz w:val="20"/>
                <w:szCs w:val="20"/>
                <w:rtl w:val="0"/>
              </w:rPr>
              <w:t xml:space="preserve">  • Exchange Hosting</w:t>
            </w:r>
          </w:p>
          <w:p w:rsidR="00000000" w:rsidDel="00000000" w:rsidP="00000000" w:rsidRDefault="00000000" w:rsidRPr="00000000" w14:paraId="00000026">
            <w:pPr>
              <w:ind w:left="100" w:firstLine="0"/>
              <w:contextualSpacing w:val="0"/>
              <w:rPr>
                <w:sz w:val="20"/>
                <w:szCs w:val="20"/>
              </w:rPr>
            </w:pPr>
            <w:r w:rsidDel="00000000" w:rsidR="00000000" w:rsidRPr="00000000">
              <w:rPr>
                <w:sz w:val="20"/>
                <w:szCs w:val="20"/>
                <w:rtl w:val="0"/>
              </w:rPr>
              <w:t xml:space="preserve">  • Mail Delivery Times</w:t>
            </w:r>
          </w:p>
          <w:p w:rsidR="00000000" w:rsidDel="00000000" w:rsidP="00000000" w:rsidRDefault="00000000" w:rsidRPr="00000000" w14:paraId="00000027">
            <w:pPr>
              <w:ind w:left="100" w:firstLine="0"/>
              <w:contextualSpacing w:val="0"/>
              <w:rPr>
                <w:sz w:val="20"/>
                <w:szCs w:val="20"/>
              </w:rPr>
            </w:pPr>
            <w:r w:rsidDel="00000000" w:rsidR="00000000" w:rsidRPr="00000000">
              <w:rPr>
                <w:sz w:val="20"/>
                <w:szCs w:val="20"/>
                <w:rtl w:val="0"/>
              </w:rPr>
              <w:t xml:space="preserve">  • Protection against Viruses</w:t>
            </w:r>
          </w:p>
          <w:p w:rsidR="00000000" w:rsidDel="00000000" w:rsidP="00000000" w:rsidRDefault="00000000" w:rsidRPr="00000000" w14:paraId="00000028">
            <w:pPr>
              <w:ind w:left="100" w:firstLine="0"/>
              <w:contextualSpacing w:val="0"/>
              <w:rPr>
                <w:sz w:val="20"/>
                <w:szCs w:val="20"/>
              </w:rPr>
            </w:pPr>
            <w:r w:rsidDel="00000000" w:rsidR="00000000" w:rsidRPr="00000000">
              <w:rPr>
                <w:sz w:val="20"/>
                <w:szCs w:val="20"/>
                <w:rtl w:val="0"/>
              </w:rPr>
              <w:t xml:space="preserve">  • Security</w:t>
            </w:r>
          </w:p>
          <w:p w:rsidR="00000000" w:rsidDel="00000000" w:rsidP="00000000" w:rsidRDefault="00000000" w:rsidRPr="00000000" w14:paraId="00000029">
            <w:pPr>
              <w:ind w:left="100" w:firstLine="0"/>
              <w:contextualSpacing w:val="0"/>
              <w:rPr>
                <w:sz w:val="20"/>
                <w:szCs w:val="20"/>
              </w:rPr>
            </w:pPr>
            <w:r w:rsidDel="00000000" w:rsidR="00000000" w:rsidRPr="00000000">
              <w:rPr>
                <w:sz w:val="20"/>
                <w:szCs w:val="20"/>
                <w:rtl w:val="0"/>
              </w:rPr>
              <w:t xml:space="preserve">  • Data Retention</w:t>
            </w:r>
          </w:p>
          <w:p w:rsidR="00000000" w:rsidDel="00000000" w:rsidP="00000000" w:rsidRDefault="00000000" w:rsidRPr="00000000" w14:paraId="0000002A">
            <w:pPr>
              <w:ind w:left="100" w:firstLine="0"/>
              <w:contextualSpacing w:val="0"/>
              <w:rPr>
                <w:sz w:val="20"/>
                <w:szCs w:val="20"/>
              </w:rPr>
            </w:pPr>
            <w:r w:rsidDel="00000000" w:rsidR="00000000" w:rsidRPr="00000000">
              <w:rPr>
                <w:sz w:val="20"/>
                <w:szCs w:val="20"/>
                <w:rtl w:val="0"/>
              </w:rPr>
              <w:t xml:space="preserve">  • Penalty for Non-Compliance/Availability</w:t>
            </w:r>
          </w:p>
          <w:p w:rsidR="00000000" w:rsidDel="00000000" w:rsidP="00000000" w:rsidRDefault="00000000" w:rsidRPr="00000000" w14:paraId="0000002B">
            <w:pPr>
              <w:ind w:left="100" w:firstLine="0"/>
              <w:contextualSpacing w:val="0"/>
              <w:rPr>
                <w:sz w:val="20"/>
                <w:szCs w:val="20"/>
              </w:rPr>
            </w:pPr>
            <w:r w:rsidDel="00000000" w:rsidR="00000000" w:rsidRPr="00000000">
              <w:rPr>
                <w:sz w:val="20"/>
                <w:szCs w:val="20"/>
                <w:rtl w:val="0"/>
              </w:rPr>
              <w:t xml:space="preserve">  • Maximum Aggregate Credits/Penalties</w:t>
            </w:r>
          </w:p>
          <w:p w:rsidR="00000000" w:rsidDel="00000000" w:rsidP="00000000" w:rsidRDefault="00000000" w:rsidRPr="00000000" w14:paraId="0000002C">
            <w:pPr>
              <w:ind w:left="100" w:firstLine="0"/>
              <w:contextualSpacing w:val="0"/>
              <w:rPr>
                <w:b w:val="1"/>
                <w:sz w:val="20"/>
                <w:szCs w:val="20"/>
              </w:rPr>
            </w:pPr>
            <w:r w:rsidDel="00000000" w:rsidR="00000000" w:rsidRPr="00000000">
              <w:rPr>
                <w:b w:val="1"/>
                <w:sz w:val="20"/>
                <w:szCs w:val="20"/>
                <w:rtl w:val="0"/>
              </w:rPr>
              <w:t xml:space="preserve">5. General Provisions</w:t>
            </w:r>
          </w:p>
        </w:tc>
      </w:tr>
    </w:tbl>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