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72F" w:rsidRDefault="00A72F4D">
      <w:pPr>
        <w:pStyle w:val="Title"/>
        <w:rPr>
          <w:rFonts w:ascii="Calibri" w:eastAsia="Calibri" w:hAnsi="Calibri" w:cs="Calibri"/>
          <w:b/>
        </w:rPr>
      </w:pPr>
      <w:bookmarkStart w:id="0" w:name="30j0zll" w:colFirst="0" w:colLast="0"/>
      <w:bookmarkStart w:id="1" w:name="1fob9te" w:colFirst="0" w:colLast="0"/>
      <w:bookmarkStart w:id="2" w:name="_gjdgxs" w:colFirst="0" w:colLast="0"/>
      <w:bookmarkStart w:id="3" w:name="_GoBack"/>
      <w:bookmarkEnd w:id="0"/>
      <w:bookmarkEnd w:id="1"/>
      <w:bookmarkEnd w:id="2"/>
      <w:bookmarkEnd w:id="3"/>
      <w:r>
        <w:rPr>
          <w:rFonts w:ascii="Calibri" w:eastAsia="Calibri" w:hAnsi="Calibri" w:cs="Calibri"/>
          <w:b/>
        </w:rPr>
        <w:t>[Department]</w:t>
      </w:r>
      <w:r>
        <w:rPr>
          <w:rFonts w:ascii="Calibri" w:eastAsia="Calibri" w:hAnsi="Calibri" w:cs="Calibri"/>
          <w:b/>
        </w:rPr>
        <w:br/>
        <w:t>[Agency]</w:t>
      </w:r>
    </w:p>
    <w:p w:rsidR="00A1472F" w:rsidRDefault="00A1472F"/>
    <w:p w:rsidR="00A1472F" w:rsidRDefault="00A72F4D">
      <w:pPr>
        <w:rPr>
          <w:b/>
          <w:i/>
          <w:color w:val="17365D"/>
        </w:rPr>
      </w:pPr>
      <w:bookmarkStart w:id="4" w:name="_3znysh7" w:colFirst="0" w:colLast="0"/>
      <w:bookmarkEnd w:id="4"/>
      <w:r>
        <w:rPr>
          <w:b/>
          <w:color w:val="17365D"/>
          <w:sz w:val="52"/>
          <w:szCs w:val="52"/>
        </w:rPr>
        <w:t xml:space="preserve">Statement of Objectives For Cloud Migration Services: </w:t>
      </w:r>
      <w:r>
        <w:rPr>
          <w:b/>
          <w:color w:val="17365D"/>
          <w:sz w:val="52"/>
          <w:szCs w:val="52"/>
        </w:rPr>
        <w:br/>
        <w:t>[Inventory, Application Mapping, and Migration Planning]</w:t>
      </w:r>
      <w:r>
        <w:rPr>
          <w:b/>
          <w:color w:val="17365D"/>
          <w:sz w:val="52"/>
          <w:szCs w:val="52"/>
        </w:rPr>
        <w:br/>
      </w:r>
      <w:r>
        <w:rPr>
          <w:b/>
          <w:i/>
          <w:color w:val="3C4043"/>
          <w:highlight w:val="white"/>
        </w:rPr>
        <w:t>[This template is for use as a SOO for the labor hours needed to perform certain pre-cloud migration tasks. Other GSA templates are used for the cloud services (Iaas, PaaS, etc).]</w:t>
      </w:r>
    </w:p>
    <w:p w:rsidR="00A1472F" w:rsidRDefault="00A72F4D">
      <w:pPr>
        <w:pStyle w:val="Heading1"/>
        <w:rPr>
          <w:rFonts w:ascii="Calibri" w:eastAsia="Calibri" w:hAnsi="Calibri" w:cs="Calibri"/>
          <w:smallCaps/>
          <w:color w:val="17365D"/>
          <w:sz w:val="52"/>
          <w:szCs w:val="52"/>
        </w:rPr>
      </w:pPr>
      <w:r>
        <w:rPr>
          <w:rFonts w:ascii="Calibri" w:eastAsia="Calibri" w:hAnsi="Calibri" w:cs="Calibri"/>
          <w:smallCaps/>
          <w:color w:val="17365D"/>
          <w:sz w:val="52"/>
          <w:szCs w:val="52"/>
        </w:rPr>
        <w:t>[Month YYYY]</w:t>
      </w:r>
    </w:p>
    <w:p w:rsidR="00A1472F" w:rsidRDefault="00A1472F">
      <w:pPr>
        <w:pStyle w:val="Heading1"/>
        <w:rPr>
          <w:rFonts w:ascii="Calibri" w:eastAsia="Calibri" w:hAnsi="Calibri" w:cs="Calibri"/>
          <w:color w:val="17365D"/>
          <w:sz w:val="52"/>
          <w:szCs w:val="52"/>
        </w:rPr>
      </w:pPr>
    </w:p>
    <w:p w:rsidR="00A1472F" w:rsidRDefault="00A72F4D">
      <w:pPr>
        <w:pStyle w:val="Heading1"/>
        <w:rPr>
          <w:rFonts w:ascii="Calibri" w:eastAsia="Calibri" w:hAnsi="Calibri" w:cs="Calibri"/>
          <w:smallCaps/>
          <w:color w:val="17365D"/>
          <w:sz w:val="52"/>
          <w:szCs w:val="52"/>
        </w:rPr>
      </w:pPr>
      <w:r>
        <w:rPr>
          <w:rFonts w:ascii="Calibri" w:eastAsia="Calibri" w:hAnsi="Calibri" w:cs="Calibri"/>
          <w:smallCaps/>
          <w:color w:val="17365D"/>
          <w:sz w:val="52"/>
          <w:szCs w:val="52"/>
        </w:rPr>
        <w:t xml:space="preserve">Template </w:t>
      </w:r>
    </w:p>
    <w:p w:rsidR="00A1472F" w:rsidRDefault="00A72F4D">
      <w:pPr>
        <w:keepNext/>
        <w:keepLines/>
        <w:pBdr>
          <w:top w:val="nil"/>
          <w:left w:val="nil"/>
          <w:bottom w:val="nil"/>
          <w:right w:val="nil"/>
          <w:between w:val="nil"/>
        </w:pBdr>
        <w:spacing w:before="480" w:after="0"/>
        <w:rPr>
          <w:rFonts w:ascii="Cambria" w:eastAsia="Cambria" w:hAnsi="Cambria" w:cs="Cambria"/>
          <w:color w:val="FF0000"/>
          <w:sz w:val="28"/>
          <w:szCs w:val="28"/>
        </w:rPr>
      </w:pPr>
      <w:r>
        <w:br w:type="page"/>
      </w:r>
      <w:r>
        <w:rPr>
          <w:b/>
          <w:color w:val="365F91"/>
          <w:sz w:val="28"/>
          <w:szCs w:val="28"/>
        </w:rPr>
        <w:lastRenderedPageBreak/>
        <w:t>Introduction and Instructions</w:t>
      </w:r>
    </w:p>
    <w:p w:rsidR="00A1472F" w:rsidRDefault="00A72F4D">
      <w:pPr>
        <w:rPr>
          <w:color w:val="FF0000"/>
        </w:rPr>
      </w:pPr>
      <w:r>
        <w:t>This sample Statement</w:t>
      </w:r>
      <w:r>
        <w:t xml:space="preserve"> of Objectives (SOO) describes the objectives and tasks for cloud migration planning services to include: </w:t>
      </w:r>
      <w:r>
        <w:rPr>
          <w:i/>
        </w:rPr>
        <w:t>[Inventory (Users, Applications, Infrastructure, Security &amp; Privacy, Service Management); Application Mapping; and Migration Planning].</w:t>
      </w:r>
      <w:r>
        <w:rPr>
          <w:color w:val="FF0000"/>
        </w:rPr>
        <w:t xml:space="preserve">  </w:t>
      </w:r>
    </w:p>
    <w:p w:rsidR="00A1472F" w:rsidRDefault="00A72F4D">
      <w:pPr>
        <w:rPr>
          <w:color w:val="FF0000"/>
        </w:rPr>
      </w:pPr>
      <w:r>
        <w:t xml:space="preserve">Offerors shall use this SOO with other applicable portions of the </w:t>
      </w:r>
      <w:r>
        <w:rPr>
          <w:i/>
        </w:rPr>
        <w:t>[RFP/RFQ]</w:t>
      </w:r>
      <w:r>
        <w:t xml:space="preserve"> as the basis for preparing their proposal.  Offerors shall ensure that all aspects of the SOO are thoroughly addressed in their proposals.</w:t>
      </w:r>
    </w:p>
    <w:p w:rsidR="00A1472F" w:rsidRDefault="00A72F4D">
      <w:pPr>
        <w:pBdr>
          <w:top w:val="nil"/>
          <w:left w:val="nil"/>
          <w:bottom w:val="nil"/>
          <w:right w:val="nil"/>
          <w:between w:val="nil"/>
        </w:pBdr>
        <w:rPr>
          <w:b/>
          <w:color w:val="4F81BD"/>
          <w:sz w:val="26"/>
          <w:szCs w:val="26"/>
        </w:rPr>
      </w:pPr>
      <w:r>
        <w:rPr>
          <w:b/>
          <w:color w:val="4F81BD"/>
          <w:sz w:val="26"/>
          <w:szCs w:val="26"/>
        </w:rPr>
        <w:t xml:space="preserve">Point of Contact </w:t>
      </w:r>
    </w:p>
    <w:p w:rsidR="00A1472F" w:rsidRDefault="00A72F4D">
      <w:r>
        <w:rPr>
          <w:i/>
        </w:rPr>
        <w:t xml:space="preserve">[Point of Contact Name </w:t>
      </w:r>
      <w:r>
        <w:rPr>
          <w:i/>
        </w:rPr>
        <w:t>and Title]</w:t>
      </w:r>
      <w:r>
        <w:t xml:space="preserve"> </w:t>
      </w:r>
      <w:r>
        <w:br/>
        <w:t xml:space="preserve">Phone: </w:t>
      </w:r>
      <w:r>
        <w:rPr>
          <w:i/>
        </w:rPr>
        <w:t>[(XXX) XXX-XXXX]</w:t>
      </w:r>
      <w:r>
        <w:br/>
        <w:t xml:space="preserve">Email: </w:t>
      </w:r>
      <w:r>
        <w:rPr>
          <w:i/>
        </w:rPr>
        <w:t>[xxxx@agency.gov]</w:t>
      </w:r>
    </w:p>
    <w:p w:rsidR="00A1472F" w:rsidRDefault="00A72F4D">
      <w:r>
        <w:br w:type="page"/>
      </w:r>
    </w:p>
    <w:p w:rsidR="00A1472F" w:rsidRDefault="00A72F4D">
      <w:pPr>
        <w:keepNext/>
        <w:keepLines/>
        <w:pBdr>
          <w:top w:val="nil"/>
          <w:left w:val="nil"/>
          <w:bottom w:val="nil"/>
          <w:right w:val="nil"/>
          <w:between w:val="nil"/>
        </w:pBdr>
        <w:spacing w:before="480" w:after="0"/>
        <w:rPr>
          <w:b/>
          <w:color w:val="365F91"/>
          <w:sz w:val="28"/>
          <w:szCs w:val="28"/>
        </w:rPr>
      </w:pPr>
      <w:r>
        <w:rPr>
          <w:b/>
          <w:color w:val="365F91"/>
          <w:sz w:val="28"/>
          <w:szCs w:val="28"/>
        </w:rPr>
        <w:lastRenderedPageBreak/>
        <w:t>Contents</w:t>
      </w:r>
    </w:p>
    <w:sdt>
      <w:sdtPr>
        <w:id w:val="376834809"/>
        <w:docPartObj>
          <w:docPartGallery w:val="Table of Contents"/>
          <w:docPartUnique/>
        </w:docPartObj>
      </w:sdtPr>
      <w:sdtEndPr/>
      <w:sdtContent>
        <w:p w:rsidR="00A1472F" w:rsidRDefault="00A72F4D">
          <w:pPr>
            <w:pBdr>
              <w:top w:val="nil"/>
              <w:left w:val="nil"/>
              <w:bottom w:val="nil"/>
              <w:right w:val="nil"/>
              <w:between w:val="nil"/>
            </w:pBdr>
            <w:tabs>
              <w:tab w:val="left" w:pos="440"/>
              <w:tab w:val="right" w:pos="9350"/>
            </w:tabs>
            <w:spacing w:after="100"/>
            <w:rPr>
              <w:color w:val="000000"/>
            </w:rPr>
          </w:pPr>
          <w:r>
            <w:fldChar w:fldCharType="begin"/>
          </w:r>
          <w:r>
            <w:instrText xml:space="preserve"> TOC \h \u \z </w:instrText>
          </w:r>
          <w:r>
            <w:fldChar w:fldCharType="separate"/>
          </w:r>
          <w:hyperlink w:anchor="_2et92p0">
            <w:r>
              <w:rPr>
                <w:color w:val="000000"/>
              </w:rPr>
              <w:t>1.</w:t>
            </w:r>
            <w:r>
              <w:rPr>
                <w:color w:val="000000"/>
              </w:rPr>
              <w:tab/>
              <w:t>Purpose</w:t>
            </w:r>
            <w:r>
              <w:rPr>
                <w:color w:val="000000"/>
              </w:rPr>
              <w:tab/>
              <w:t>4</w:t>
            </w:r>
          </w:hyperlink>
        </w:p>
        <w:p w:rsidR="00A1472F" w:rsidRDefault="00A72F4D">
          <w:pPr>
            <w:pBdr>
              <w:top w:val="nil"/>
              <w:left w:val="nil"/>
              <w:bottom w:val="nil"/>
              <w:right w:val="nil"/>
              <w:between w:val="nil"/>
            </w:pBdr>
            <w:tabs>
              <w:tab w:val="left" w:pos="440"/>
              <w:tab w:val="right" w:pos="9350"/>
            </w:tabs>
            <w:spacing w:after="100"/>
            <w:rPr>
              <w:color w:val="000000"/>
            </w:rPr>
          </w:pPr>
          <w:hyperlink w:anchor="_tyjcwt">
            <w:r>
              <w:rPr>
                <w:color w:val="000000"/>
              </w:rPr>
              <w:t>2.</w:t>
            </w:r>
            <w:r>
              <w:rPr>
                <w:color w:val="000000"/>
              </w:rPr>
              <w:tab/>
              <w:t>Scope</w:t>
            </w:r>
            <w:r>
              <w:rPr>
                <w:color w:val="000000"/>
              </w:rPr>
              <w:tab/>
              <w:t>4</w:t>
            </w:r>
          </w:hyperlink>
        </w:p>
        <w:p w:rsidR="00A1472F" w:rsidRDefault="00A72F4D">
          <w:pPr>
            <w:pBdr>
              <w:top w:val="nil"/>
              <w:left w:val="nil"/>
              <w:bottom w:val="nil"/>
              <w:right w:val="nil"/>
              <w:between w:val="nil"/>
            </w:pBdr>
            <w:tabs>
              <w:tab w:val="left" w:pos="440"/>
              <w:tab w:val="right" w:pos="9350"/>
            </w:tabs>
            <w:spacing w:after="100"/>
            <w:rPr>
              <w:color w:val="000000"/>
            </w:rPr>
          </w:pPr>
          <w:hyperlink w:anchor="_3dy6vkm">
            <w:r>
              <w:rPr>
                <w:color w:val="000000"/>
              </w:rPr>
              <w:t>3.</w:t>
            </w:r>
            <w:r>
              <w:rPr>
                <w:color w:val="000000"/>
              </w:rPr>
              <w:tab/>
              <w:t>Period and Place of Performance</w:t>
            </w:r>
            <w:r>
              <w:rPr>
                <w:color w:val="000000"/>
              </w:rPr>
              <w:tab/>
              <w:t>4</w:t>
            </w:r>
          </w:hyperlink>
        </w:p>
        <w:p w:rsidR="00A1472F" w:rsidRDefault="00A72F4D">
          <w:pPr>
            <w:pBdr>
              <w:top w:val="nil"/>
              <w:left w:val="nil"/>
              <w:bottom w:val="nil"/>
              <w:right w:val="nil"/>
              <w:between w:val="nil"/>
            </w:pBdr>
            <w:tabs>
              <w:tab w:val="left" w:pos="440"/>
              <w:tab w:val="right" w:pos="9350"/>
            </w:tabs>
            <w:spacing w:after="100"/>
            <w:rPr>
              <w:color w:val="000000"/>
            </w:rPr>
          </w:pPr>
          <w:hyperlink w:anchor="_1t3h5sf">
            <w:r>
              <w:rPr>
                <w:color w:val="000000"/>
              </w:rPr>
              <w:t>4.</w:t>
            </w:r>
            <w:r>
              <w:rPr>
                <w:color w:val="000000"/>
              </w:rPr>
              <w:tab/>
              <w:t>Background</w:t>
            </w:r>
            <w:r>
              <w:rPr>
                <w:color w:val="000000"/>
              </w:rPr>
              <w:tab/>
              <w:t>5</w:t>
            </w:r>
          </w:hyperlink>
        </w:p>
        <w:p w:rsidR="00A1472F" w:rsidRDefault="00A72F4D">
          <w:pPr>
            <w:pBdr>
              <w:top w:val="nil"/>
              <w:left w:val="nil"/>
              <w:bottom w:val="nil"/>
              <w:right w:val="nil"/>
              <w:between w:val="nil"/>
            </w:pBdr>
            <w:tabs>
              <w:tab w:val="left" w:pos="440"/>
              <w:tab w:val="right" w:pos="9350"/>
            </w:tabs>
            <w:spacing w:after="100"/>
            <w:rPr>
              <w:color w:val="000000"/>
            </w:rPr>
          </w:pPr>
          <w:hyperlink w:anchor="_4d34og8">
            <w:r>
              <w:rPr>
                <w:color w:val="000000"/>
              </w:rPr>
              <w:t>5.</w:t>
            </w:r>
            <w:r>
              <w:rPr>
                <w:color w:val="000000"/>
              </w:rPr>
              <w:tab/>
              <w:t>Current Environment</w:t>
            </w:r>
            <w:r>
              <w:rPr>
                <w:color w:val="000000"/>
              </w:rPr>
              <w:tab/>
              <w:t>6</w:t>
            </w:r>
          </w:hyperlink>
        </w:p>
        <w:p w:rsidR="00A1472F" w:rsidRDefault="00A72F4D">
          <w:pPr>
            <w:pBdr>
              <w:top w:val="nil"/>
              <w:left w:val="nil"/>
              <w:bottom w:val="nil"/>
              <w:right w:val="nil"/>
              <w:between w:val="nil"/>
            </w:pBdr>
            <w:tabs>
              <w:tab w:val="left" w:pos="440"/>
              <w:tab w:val="right" w:pos="9350"/>
            </w:tabs>
            <w:spacing w:after="100"/>
            <w:rPr>
              <w:color w:val="000000"/>
            </w:rPr>
          </w:pPr>
          <w:hyperlink w:anchor="_2s8eyo1">
            <w:r>
              <w:rPr>
                <w:color w:val="000000"/>
              </w:rPr>
              <w:t>6.</w:t>
            </w:r>
            <w:r>
              <w:rPr>
                <w:color w:val="000000"/>
              </w:rPr>
              <w:tab/>
              <w:t>Objectives</w:t>
            </w:r>
            <w:r>
              <w:rPr>
                <w:color w:val="000000"/>
              </w:rPr>
              <w:tab/>
              <w:t>6</w:t>
            </w:r>
          </w:hyperlink>
        </w:p>
        <w:p w:rsidR="00A1472F" w:rsidRDefault="00A72F4D">
          <w:pPr>
            <w:pBdr>
              <w:top w:val="nil"/>
              <w:left w:val="nil"/>
              <w:bottom w:val="nil"/>
              <w:right w:val="nil"/>
              <w:between w:val="nil"/>
            </w:pBdr>
            <w:tabs>
              <w:tab w:val="left" w:pos="880"/>
              <w:tab w:val="right" w:pos="9350"/>
            </w:tabs>
            <w:spacing w:after="100"/>
            <w:ind w:left="220" w:hanging="220"/>
            <w:rPr>
              <w:color w:val="000000"/>
            </w:rPr>
          </w:pPr>
          <w:hyperlink w:anchor="_17dp8vu">
            <w:r>
              <w:rPr>
                <w:color w:val="000000"/>
              </w:rPr>
              <w:t>6.1.</w:t>
            </w:r>
            <w:r>
              <w:rPr>
                <w:color w:val="000000"/>
              </w:rPr>
              <w:tab/>
              <w:t>Business Objectives</w:t>
            </w:r>
            <w:r>
              <w:rPr>
                <w:color w:val="000000"/>
              </w:rPr>
              <w:tab/>
              <w:t>6</w:t>
            </w:r>
          </w:hyperlink>
        </w:p>
        <w:p w:rsidR="00A1472F" w:rsidRDefault="00A72F4D">
          <w:pPr>
            <w:pBdr>
              <w:top w:val="nil"/>
              <w:left w:val="nil"/>
              <w:bottom w:val="nil"/>
              <w:right w:val="nil"/>
              <w:between w:val="nil"/>
            </w:pBdr>
            <w:tabs>
              <w:tab w:val="left" w:pos="880"/>
              <w:tab w:val="right" w:pos="9350"/>
            </w:tabs>
            <w:spacing w:after="100"/>
            <w:ind w:left="220" w:hanging="220"/>
            <w:rPr>
              <w:color w:val="000000"/>
            </w:rPr>
          </w:pPr>
          <w:hyperlink w:anchor="_3rdcrjn">
            <w:r>
              <w:rPr>
                <w:color w:val="000000"/>
              </w:rPr>
              <w:t>6.2.</w:t>
            </w:r>
            <w:r>
              <w:rPr>
                <w:color w:val="000000"/>
              </w:rPr>
              <w:tab/>
              <w:t>Technical Obje</w:t>
            </w:r>
            <w:r>
              <w:rPr>
                <w:color w:val="000000"/>
              </w:rPr>
              <w:t>ctives</w:t>
            </w:r>
            <w:r>
              <w:rPr>
                <w:color w:val="000000"/>
              </w:rPr>
              <w:tab/>
              <w:t>8</w:t>
            </w:r>
          </w:hyperlink>
        </w:p>
        <w:p w:rsidR="00A1472F" w:rsidRDefault="00A72F4D">
          <w:pPr>
            <w:pBdr>
              <w:top w:val="nil"/>
              <w:left w:val="nil"/>
              <w:bottom w:val="nil"/>
              <w:right w:val="nil"/>
              <w:between w:val="nil"/>
            </w:pBdr>
            <w:tabs>
              <w:tab w:val="left" w:pos="880"/>
              <w:tab w:val="right" w:pos="9350"/>
            </w:tabs>
            <w:spacing w:after="100"/>
            <w:ind w:left="220" w:hanging="220"/>
            <w:rPr>
              <w:color w:val="000000"/>
            </w:rPr>
          </w:pPr>
          <w:hyperlink w:anchor="_26in1rg">
            <w:r>
              <w:rPr>
                <w:color w:val="000000"/>
              </w:rPr>
              <w:t>6.3.</w:t>
            </w:r>
            <w:r>
              <w:rPr>
                <w:color w:val="000000"/>
              </w:rPr>
              <w:tab/>
              <w:t>Security Objectives</w:t>
            </w:r>
            <w:r>
              <w:rPr>
                <w:color w:val="000000"/>
              </w:rPr>
              <w:tab/>
              <w:t>9</w:t>
            </w:r>
          </w:hyperlink>
        </w:p>
        <w:p w:rsidR="00A1472F" w:rsidRDefault="00A72F4D">
          <w:pPr>
            <w:pBdr>
              <w:top w:val="nil"/>
              <w:left w:val="nil"/>
              <w:bottom w:val="nil"/>
              <w:right w:val="nil"/>
              <w:between w:val="nil"/>
            </w:pBdr>
            <w:tabs>
              <w:tab w:val="left" w:pos="880"/>
              <w:tab w:val="right" w:pos="9350"/>
            </w:tabs>
            <w:spacing w:after="100"/>
            <w:ind w:left="220" w:hanging="220"/>
            <w:rPr>
              <w:color w:val="000000"/>
            </w:rPr>
          </w:pPr>
          <w:hyperlink w:anchor="_lnxbz9">
            <w:r>
              <w:rPr>
                <w:color w:val="000000"/>
              </w:rPr>
              <w:t>6.4.</w:t>
            </w:r>
            <w:r>
              <w:rPr>
                <w:color w:val="000000"/>
              </w:rPr>
              <w:tab/>
              <w:t>Management Objectives</w:t>
            </w:r>
            <w:r>
              <w:rPr>
                <w:color w:val="000000"/>
              </w:rPr>
              <w:tab/>
              <w:t>9</w:t>
            </w:r>
          </w:hyperlink>
        </w:p>
        <w:p w:rsidR="00A1472F" w:rsidRDefault="00A72F4D">
          <w:pPr>
            <w:pBdr>
              <w:top w:val="nil"/>
              <w:left w:val="nil"/>
              <w:bottom w:val="nil"/>
              <w:right w:val="nil"/>
              <w:between w:val="nil"/>
            </w:pBdr>
            <w:tabs>
              <w:tab w:val="left" w:pos="880"/>
              <w:tab w:val="right" w:pos="9350"/>
            </w:tabs>
            <w:spacing w:after="100"/>
            <w:ind w:left="220" w:hanging="220"/>
            <w:rPr>
              <w:color w:val="000000"/>
            </w:rPr>
          </w:pPr>
          <w:hyperlink w:anchor="_35nkun2">
            <w:r>
              <w:rPr>
                <w:color w:val="000000"/>
              </w:rPr>
              <w:t>6.5.</w:t>
            </w:r>
            <w:r>
              <w:rPr>
                <w:color w:val="000000"/>
              </w:rPr>
              <w:tab/>
              <w:t>Administrative Objectives</w:t>
            </w:r>
            <w:r>
              <w:rPr>
                <w:color w:val="000000"/>
              </w:rPr>
              <w:tab/>
              <w:t>9</w:t>
            </w:r>
          </w:hyperlink>
        </w:p>
        <w:p w:rsidR="00A1472F" w:rsidRDefault="00A72F4D">
          <w:pPr>
            <w:pBdr>
              <w:top w:val="nil"/>
              <w:left w:val="nil"/>
              <w:bottom w:val="nil"/>
              <w:right w:val="nil"/>
              <w:between w:val="nil"/>
            </w:pBdr>
            <w:tabs>
              <w:tab w:val="left" w:pos="440"/>
              <w:tab w:val="right" w:pos="9350"/>
            </w:tabs>
            <w:spacing w:after="100"/>
            <w:rPr>
              <w:color w:val="000000"/>
            </w:rPr>
          </w:pPr>
          <w:hyperlink w:anchor="_1ksv4uv">
            <w:r>
              <w:rPr>
                <w:color w:val="000000"/>
              </w:rPr>
              <w:t>7.</w:t>
            </w:r>
            <w:r>
              <w:rPr>
                <w:color w:val="000000"/>
              </w:rPr>
              <w:tab/>
              <w:t>Constraints</w:t>
            </w:r>
            <w:r>
              <w:rPr>
                <w:color w:val="000000"/>
              </w:rPr>
              <w:tab/>
              <w:t>10</w:t>
            </w:r>
          </w:hyperlink>
        </w:p>
        <w:p w:rsidR="00A1472F" w:rsidRDefault="00A72F4D">
          <w:pPr>
            <w:pBdr>
              <w:top w:val="nil"/>
              <w:left w:val="nil"/>
              <w:bottom w:val="nil"/>
              <w:right w:val="nil"/>
              <w:between w:val="nil"/>
            </w:pBdr>
            <w:tabs>
              <w:tab w:val="left" w:pos="440"/>
              <w:tab w:val="right" w:pos="9350"/>
            </w:tabs>
            <w:spacing w:after="100"/>
            <w:rPr>
              <w:color w:val="000000"/>
            </w:rPr>
          </w:pPr>
          <w:hyperlink w:anchor="_44sinio">
            <w:r>
              <w:rPr>
                <w:color w:val="000000"/>
              </w:rPr>
              <w:t>8.</w:t>
            </w:r>
            <w:r>
              <w:rPr>
                <w:color w:val="000000"/>
              </w:rPr>
              <w:tab/>
              <w:t>Requirements Cross-Reference</w:t>
            </w:r>
            <w:r>
              <w:rPr>
                <w:color w:val="000000"/>
              </w:rPr>
              <w:tab/>
              <w:t>10</w:t>
            </w:r>
          </w:hyperlink>
        </w:p>
        <w:p w:rsidR="00A1472F" w:rsidRDefault="00A72F4D">
          <w:r>
            <w:fldChar w:fldCharType="end"/>
          </w:r>
        </w:p>
      </w:sdtContent>
    </w:sdt>
    <w:p w:rsidR="00A1472F" w:rsidRDefault="00A72F4D">
      <w:pPr>
        <w:rPr>
          <w:b/>
          <w:color w:val="365F91"/>
          <w:sz w:val="28"/>
          <w:szCs w:val="28"/>
        </w:rPr>
      </w:pPr>
      <w:r>
        <w:br w:type="page"/>
      </w:r>
    </w:p>
    <w:p w:rsidR="00A1472F" w:rsidRDefault="00A72F4D">
      <w:pPr>
        <w:pStyle w:val="Heading1"/>
        <w:numPr>
          <w:ilvl w:val="0"/>
          <w:numId w:val="3"/>
        </w:numPr>
        <w:rPr>
          <w:rFonts w:ascii="Calibri" w:eastAsia="Calibri" w:hAnsi="Calibri" w:cs="Calibri"/>
        </w:rPr>
      </w:pPr>
      <w:bookmarkStart w:id="5" w:name="_2et92p0" w:colFirst="0" w:colLast="0"/>
      <w:bookmarkEnd w:id="5"/>
      <w:r>
        <w:rPr>
          <w:rFonts w:ascii="Calibri" w:eastAsia="Calibri" w:hAnsi="Calibri" w:cs="Calibri"/>
        </w:rPr>
        <w:lastRenderedPageBreak/>
        <w:t xml:space="preserve">Purpose </w:t>
      </w:r>
    </w:p>
    <w:p w:rsidR="00A1472F" w:rsidRDefault="00A72F4D">
      <w:pPr>
        <w:spacing w:line="240" w:lineRule="auto"/>
        <w:jc w:val="both"/>
      </w:pPr>
      <w:r>
        <w:t xml:space="preserve">This Statement of Objectives (SOO) describes the goals that </w:t>
      </w:r>
      <w:r>
        <w:rPr>
          <w:i/>
        </w:rPr>
        <w:t>[Department/Agency]</w:t>
      </w:r>
      <w:r>
        <w:t xml:space="preserve"> expects to achieve with regard to </w:t>
      </w:r>
      <w:r>
        <w:rPr>
          <w:i/>
        </w:rPr>
        <w:t>[planning the migration of applications or services to the cloud - including legacy and new applications - and planning for future development of new cloud applications]</w:t>
      </w:r>
      <w:r>
        <w:t xml:space="preserve">.  The primary goal of this acquisition is to </w:t>
      </w:r>
      <w:r>
        <w:rPr>
          <w:i/>
        </w:rPr>
        <w:t>[prepare Department/Agency for moving applications to the cloud]</w:t>
      </w:r>
      <w:r>
        <w:t xml:space="preserve"> which will result in </w:t>
      </w:r>
      <w:r>
        <w:rPr>
          <w:i/>
        </w:rPr>
        <w:t>[improvements in efficiency, agility, and innovation].</w:t>
      </w:r>
      <w:r>
        <w:t xml:space="preserve"> </w:t>
      </w:r>
    </w:p>
    <w:p w:rsidR="00A1472F" w:rsidRDefault="00A72F4D">
      <w:pPr>
        <w:pStyle w:val="Heading1"/>
        <w:numPr>
          <w:ilvl w:val="0"/>
          <w:numId w:val="3"/>
        </w:numPr>
        <w:rPr>
          <w:rFonts w:ascii="Calibri" w:eastAsia="Calibri" w:hAnsi="Calibri" w:cs="Calibri"/>
        </w:rPr>
      </w:pPr>
      <w:bookmarkStart w:id="6" w:name="_tyjcwt" w:colFirst="0" w:colLast="0"/>
      <w:bookmarkEnd w:id="6"/>
      <w:r>
        <w:rPr>
          <w:rFonts w:ascii="Calibri" w:eastAsia="Calibri" w:hAnsi="Calibri" w:cs="Calibri"/>
        </w:rPr>
        <w:t>Scope</w:t>
      </w:r>
    </w:p>
    <w:p w:rsidR="00A1472F" w:rsidRDefault="00A72F4D">
      <w:pPr>
        <w:jc w:val="both"/>
      </w:pPr>
      <w:r>
        <w:t xml:space="preserve">This SOO addresses work associated with the following </w:t>
      </w:r>
      <w:r>
        <w:rPr>
          <w:i/>
        </w:rPr>
        <w:t>[cloud migration planning]</w:t>
      </w:r>
      <w:r>
        <w:t xml:space="preserve"> activities: </w:t>
      </w:r>
    </w:p>
    <w:p w:rsidR="00A1472F" w:rsidRDefault="00A72F4D">
      <w:pPr>
        <w:numPr>
          <w:ilvl w:val="0"/>
          <w:numId w:val="4"/>
        </w:numPr>
        <w:pBdr>
          <w:top w:val="nil"/>
          <w:left w:val="nil"/>
          <w:bottom w:val="nil"/>
          <w:right w:val="nil"/>
          <w:between w:val="nil"/>
        </w:pBdr>
        <w:spacing w:after="0"/>
        <w:rPr>
          <w:i/>
          <w:color w:val="000000"/>
        </w:rPr>
      </w:pPr>
      <w:r>
        <w:rPr>
          <w:i/>
          <w:color w:val="000000"/>
        </w:rPr>
        <w:t>[Conducting an</w:t>
      </w:r>
      <w:r>
        <w:rPr>
          <w:i/>
          <w:color w:val="000000"/>
        </w:rPr>
        <w:t xml:space="preserve"> inventory (including Users, Applications, Infrastructure, Security &amp; Privacy, and Service Management)] </w:t>
      </w:r>
    </w:p>
    <w:p w:rsidR="00A1472F" w:rsidRDefault="00A72F4D">
      <w:pPr>
        <w:numPr>
          <w:ilvl w:val="0"/>
          <w:numId w:val="4"/>
        </w:numPr>
        <w:pBdr>
          <w:top w:val="nil"/>
          <w:left w:val="nil"/>
          <w:bottom w:val="nil"/>
          <w:right w:val="nil"/>
          <w:between w:val="nil"/>
        </w:pBdr>
        <w:spacing w:after="0"/>
        <w:rPr>
          <w:i/>
          <w:color w:val="000000"/>
        </w:rPr>
      </w:pPr>
      <w:r>
        <w:rPr>
          <w:i/>
          <w:color w:val="000000"/>
        </w:rPr>
        <w:t>[Application Mapping]</w:t>
      </w:r>
    </w:p>
    <w:p w:rsidR="00A1472F" w:rsidRDefault="00A72F4D">
      <w:pPr>
        <w:numPr>
          <w:ilvl w:val="0"/>
          <w:numId w:val="4"/>
        </w:numPr>
        <w:pBdr>
          <w:top w:val="nil"/>
          <w:left w:val="nil"/>
          <w:bottom w:val="nil"/>
          <w:right w:val="nil"/>
          <w:between w:val="nil"/>
        </w:pBdr>
        <w:spacing w:after="0"/>
        <w:rPr>
          <w:i/>
          <w:color w:val="000000"/>
        </w:rPr>
      </w:pPr>
      <w:r>
        <w:rPr>
          <w:i/>
          <w:color w:val="000000"/>
        </w:rPr>
        <w:t>[Conducting a suitability analysis, identifying appropriate service models (e.g. SaaS, PaaS, IaaS) and deployment models (e.g. pr</w:t>
      </w:r>
      <w:r>
        <w:rPr>
          <w:i/>
          <w:color w:val="000000"/>
        </w:rPr>
        <w:t>ivate, public, hybrid, community)]</w:t>
      </w:r>
    </w:p>
    <w:p w:rsidR="00A1472F" w:rsidRDefault="00A72F4D">
      <w:pPr>
        <w:numPr>
          <w:ilvl w:val="0"/>
          <w:numId w:val="4"/>
        </w:numPr>
        <w:pBdr>
          <w:top w:val="nil"/>
          <w:left w:val="nil"/>
          <w:bottom w:val="nil"/>
          <w:right w:val="nil"/>
          <w:between w:val="nil"/>
        </w:pBdr>
        <w:spacing w:after="0"/>
        <w:rPr>
          <w:i/>
          <w:color w:val="000000"/>
        </w:rPr>
      </w:pPr>
      <w:r>
        <w:rPr>
          <w:i/>
          <w:color w:val="000000"/>
        </w:rPr>
        <w:t>[Providing recommendations to the government for the industry/service model]</w:t>
      </w:r>
    </w:p>
    <w:p w:rsidR="00A1472F" w:rsidRDefault="00A72F4D">
      <w:pPr>
        <w:numPr>
          <w:ilvl w:val="0"/>
          <w:numId w:val="4"/>
        </w:numPr>
        <w:pBdr>
          <w:top w:val="nil"/>
          <w:left w:val="nil"/>
          <w:bottom w:val="nil"/>
          <w:right w:val="nil"/>
          <w:between w:val="nil"/>
        </w:pBdr>
        <w:spacing w:after="0"/>
        <w:rPr>
          <w:i/>
          <w:color w:val="000000"/>
        </w:rPr>
      </w:pPr>
      <w:r>
        <w:rPr>
          <w:i/>
          <w:color w:val="000000"/>
        </w:rPr>
        <w:t>[Developing the business case to quantify cost and benefits]</w:t>
      </w:r>
    </w:p>
    <w:p w:rsidR="00A1472F" w:rsidRDefault="00A72F4D">
      <w:pPr>
        <w:numPr>
          <w:ilvl w:val="0"/>
          <w:numId w:val="4"/>
        </w:numPr>
        <w:pBdr>
          <w:top w:val="nil"/>
          <w:left w:val="nil"/>
          <w:bottom w:val="nil"/>
          <w:right w:val="nil"/>
          <w:between w:val="nil"/>
        </w:pBdr>
        <w:rPr>
          <w:i/>
          <w:color w:val="000000"/>
        </w:rPr>
      </w:pPr>
      <w:r>
        <w:rPr>
          <w:i/>
          <w:color w:val="000000"/>
        </w:rPr>
        <w:t xml:space="preserve">[Migration planning, including developing the migration roadmap]. </w:t>
      </w:r>
    </w:p>
    <w:p w:rsidR="00A1472F" w:rsidRDefault="00A72F4D">
      <w:pPr>
        <w:spacing w:line="240" w:lineRule="auto"/>
        <w:jc w:val="both"/>
      </w:pPr>
      <w:r>
        <w:t xml:space="preserve">Agency strategy </w:t>
      </w:r>
      <w:r>
        <w:t xml:space="preserve">for acquiring cloud migration services should align to OMB’s 2018 Federal Cloud Computing strategy, “Cloud Smart.”  This policy from OMB supplants 2010’s “Cloud First” strategy and the Data Center Optimization Initiative (DCOI), covered in OMB Memo 16-19. </w:t>
      </w:r>
      <w:r>
        <w:t xml:space="preserve">It emphasizes the need for federal agencies to a) ensure the technology is a good fit that will provide better mission-focused outcomes and b) intelligently account for the procurement, security, and workforce implications of cloud migration by leveraging </w:t>
      </w:r>
      <w:r>
        <w:t>industry best practices and cross-government knowledge.</w:t>
      </w:r>
      <w:r>
        <w:rPr>
          <w:vertAlign w:val="superscript"/>
        </w:rPr>
        <w:footnoteReference w:id="1"/>
      </w:r>
      <w:r>
        <w:t xml:space="preserve">  </w:t>
      </w:r>
    </w:p>
    <w:p w:rsidR="00A1472F" w:rsidRDefault="00A72F4D">
      <w:pPr>
        <w:spacing w:line="240" w:lineRule="auto"/>
        <w:jc w:val="both"/>
        <w:rPr>
          <w:i/>
        </w:rPr>
      </w:pPr>
      <w:r>
        <w:t xml:space="preserve">Migration Execution is not included in the scope of this SOO.  </w:t>
      </w:r>
      <w:r>
        <w:rPr>
          <w:i/>
        </w:rPr>
        <w:t xml:space="preserve">[List additional services here that will support Department/Agency in these activities].  </w:t>
      </w:r>
      <w:r>
        <w:t xml:space="preserve">The </w:t>
      </w:r>
      <w:r>
        <w:rPr>
          <w:i/>
        </w:rPr>
        <w:t>[acquisition vehicle name and number (fo</w:t>
      </w:r>
      <w:r>
        <w:rPr>
          <w:i/>
        </w:rPr>
        <w:t>r instance, GSA Schedule IT70 Cloud Special Item Number (SIN) 132-40]</w:t>
      </w:r>
      <w:r>
        <w:t xml:space="preserve">, issued by </w:t>
      </w:r>
      <w:r>
        <w:rPr>
          <w:i/>
        </w:rPr>
        <w:t>[Issuing Agency],</w:t>
      </w:r>
      <w:r>
        <w:t xml:space="preserve"> is hereby incorporated by reference.  </w:t>
      </w:r>
      <w:r>
        <w:rPr>
          <w:i/>
        </w:rPr>
        <w:t>[This makes clear that the terms and conditions of any GWAC or Schedule being used are also in effect here.]</w:t>
      </w:r>
    </w:p>
    <w:p w:rsidR="00A1472F" w:rsidRDefault="00A72F4D">
      <w:pPr>
        <w:pStyle w:val="Heading1"/>
        <w:numPr>
          <w:ilvl w:val="0"/>
          <w:numId w:val="3"/>
        </w:numPr>
        <w:rPr>
          <w:rFonts w:ascii="Calibri" w:eastAsia="Calibri" w:hAnsi="Calibri" w:cs="Calibri"/>
        </w:rPr>
      </w:pPr>
      <w:bookmarkStart w:id="7" w:name="_3dy6vkm" w:colFirst="0" w:colLast="0"/>
      <w:bookmarkEnd w:id="7"/>
      <w:r>
        <w:rPr>
          <w:rFonts w:ascii="Calibri" w:eastAsia="Calibri" w:hAnsi="Calibri" w:cs="Calibri"/>
        </w:rPr>
        <w:t>Period and</w:t>
      </w:r>
      <w:r>
        <w:rPr>
          <w:rFonts w:ascii="Calibri" w:eastAsia="Calibri" w:hAnsi="Calibri" w:cs="Calibri"/>
        </w:rPr>
        <w:t xml:space="preserve"> Place of Performance</w:t>
      </w:r>
    </w:p>
    <w:p w:rsidR="00A1472F" w:rsidRDefault="00A72F4D">
      <w:pPr>
        <w:spacing w:line="240" w:lineRule="auto"/>
        <w:jc w:val="both"/>
      </w:pPr>
      <w:r>
        <w:t xml:space="preserve">The base Period of Performance will be </w:t>
      </w:r>
      <w:r>
        <w:rPr>
          <w:i/>
        </w:rPr>
        <w:t>[xx (xx)]</w:t>
      </w:r>
      <w:r>
        <w:t xml:space="preserve"> months from the date of award with </w:t>
      </w:r>
      <w:r>
        <w:rPr>
          <w:i/>
        </w:rPr>
        <w:t>[xx (xx) xx (xx)]</w:t>
      </w:r>
      <w:r>
        <w:t xml:space="preserve"> year options. Services will be provided at </w:t>
      </w:r>
      <w:r>
        <w:rPr>
          <w:i/>
        </w:rPr>
        <w:t>[specify location].</w:t>
      </w:r>
    </w:p>
    <w:p w:rsidR="00A1472F" w:rsidRDefault="00A72F4D">
      <w:pPr>
        <w:spacing w:line="240" w:lineRule="auto"/>
        <w:jc w:val="both"/>
      </w:pPr>
      <w:r>
        <w:rPr>
          <w:i/>
        </w:rPr>
        <w:t xml:space="preserve">[The Offeror may offer pricing where migration planning services are </w:t>
      </w:r>
      <w:r>
        <w:rPr>
          <w:i/>
        </w:rPr>
        <w:t>conducted in the United States and/or pricing where services could be conducted outside of the United States.  Offeror should identify all locations where any services will be conducted and ordering activity data will be located.  U.S. Based Prices are pri</w:t>
      </w:r>
      <w:r>
        <w:rPr>
          <w:i/>
        </w:rPr>
        <w:t xml:space="preserve">ces where the services and all data-at-rest (either primary storage or replicated storage) are conducted and located within the United States.  Worldwide Prices are prices where the services and any </w:t>
      </w:r>
      <w:r>
        <w:rPr>
          <w:i/>
        </w:rPr>
        <w:lastRenderedPageBreak/>
        <w:t>data-at-rest (either primary storage or replicated storag</w:t>
      </w:r>
      <w:r>
        <w:rPr>
          <w:i/>
        </w:rPr>
        <w:t xml:space="preserve">e) are conducted and/or located outside the United States.] </w:t>
      </w:r>
      <w:r>
        <w:rPr>
          <w:vertAlign w:val="superscript"/>
        </w:rPr>
        <w:footnoteReference w:id="2"/>
      </w:r>
    </w:p>
    <w:p w:rsidR="00A1472F" w:rsidRDefault="00A1472F">
      <w:pPr>
        <w:spacing w:line="240" w:lineRule="auto"/>
        <w:jc w:val="both"/>
      </w:pPr>
    </w:p>
    <w:p w:rsidR="00A1472F" w:rsidRDefault="00A72F4D">
      <w:pPr>
        <w:pStyle w:val="Heading1"/>
        <w:numPr>
          <w:ilvl w:val="0"/>
          <w:numId w:val="3"/>
        </w:numPr>
        <w:rPr>
          <w:rFonts w:ascii="Calibri" w:eastAsia="Calibri" w:hAnsi="Calibri" w:cs="Calibri"/>
        </w:rPr>
      </w:pPr>
      <w:bookmarkStart w:id="8" w:name="_1t3h5sf" w:colFirst="0" w:colLast="0"/>
      <w:bookmarkEnd w:id="8"/>
      <w:r>
        <w:rPr>
          <w:rFonts w:ascii="Calibri" w:eastAsia="Calibri" w:hAnsi="Calibri" w:cs="Calibri"/>
        </w:rPr>
        <w:t>Background</w:t>
      </w:r>
    </w:p>
    <w:p w:rsidR="00A1472F" w:rsidRDefault="00A72F4D">
      <w:pPr>
        <w:spacing w:line="240" w:lineRule="auto"/>
        <w:jc w:val="both"/>
      </w:pPr>
      <w:r>
        <w:t>Produced by the Office of Management &amp;</w:t>
      </w:r>
      <w:r>
        <w:t xml:space="preserve"> Budget (OMB), the September 2018 Federal Cloud Computing Strategy, “Cloud Smart,” outlines the impetus and benefits of migrating to cloud services, including cost savings, better security and delivery of faster mission-enabling services..  The three compl</w:t>
      </w:r>
      <w:r>
        <w:t>ementary pillars of the new strategy  integral to promoting cloud adoption are security, procurement and workforce. “Cloud Smart embraces best practices from both the federal government and the private sector, ensuring agencies have the capability</w:t>
      </w:r>
      <w:r>
        <w:rPr>
          <w:color w:val="293340"/>
          <w:highlight w:val="white"/>
        </w:rPr>
        <w:t xml:space="preserve"> to lever</w:t>
      </w:r>
      <w:r>
        <w:rPr>
          <w:color w:val="293340"/>
          <w:highlight w:val="white"/>
        </w:rPr>
        <w:t>age leading solutions to better serve agency mission, drive improved citizen services and increase cyber security.”</w:t>
      </w:r>
      <w:r>
        <w:rPr>
          <w:color w:val="293340"/>
          <w:highlight w:val="white"/>
          <w:vertAlign w:val="superscript"/>
        </w:rPr>
        <w:footnoteReference w:id="3"/>
      </w:r>
      <w:r>
        <w:rPr>
          <w:color w:val="293340"/>
          <w:highlight w:val="white"/>
        </w:rPr>
        <w:t xml:space="preserve">  </w:t>
      </w:r>
    </w:p>
    <w:p w:rsidR="00A1472F" w:rsidRDefault="00A72F4D">
      <w:pPr>
        <w:spacing w:line="240" w:lineRule="auto"/>
        <w:jc w:val="both"/>
        <w:rPr>
          <w:i/>
        </w:rPr>
      </w:pPr>
      <w:r>
        <w:rPr>
          <w:i/>
        </w:rPr>
        <w:t>[Department/Agency]</w:t>
      </w:r>
      <w:r>
        <w:t xml:space="preserve"> is in the process of </w:t>
      </w:r>
      <w:r>
        <w:rPr>
          <w:i/>
        </w:rPr>
        <w:t xml:space="preserve">[readying workloads and applications to migrate to the cloud].  </w:t>
      </w:r>
      <w:r>
        <w:t xml:space="preserve">The </w:t>
      </w:r>
      <w:r>
        <w:rPr>
          <w:i/>
        </w:rPr>
        <w:t>[Department/Agency]</w:t>
      </w:r>
      <w:r>
        <w:t xml:space="preserve"> target operating model is to </w:t>
      </w:r>
      <w:r>
        <w:rPr>
          <w:i/>
        </w:rPr>
        <w:t>[migrate x services or x%]</w:t>
      </w:r>
      <w:r>
        <w:t xml:space="preserve"> to the cloud and/or </w:t>
      </w:r>
      <w:r>
        <w:rPr>
          <w:i/>
        </w:rPr>
        <w:t>[list data center consolidation goals].</w:t>
      </w:r>
      <w:r>
        <w:t xml:space="preserve">  Therefore </w:t>
      </w:r>
      <w:r>
        <w:rPr>
          <w:i/>
        </w:rPr>
        <w:t>[Department/Agency]</w:t>
      </w:r>
      <w:r>
        <w:t xml:space="preserve"> seeks services to encompass the </w:t>
      </w:r>
      <w:r>
        <w:rPr>
          <w:i/>
        </w:rPr>
        <w:t>[list phases for cloud migration]</w:t>
      </w:r>
      <w:r>
        <w:t xml:space="preserve"> for all </w:t>
      </w:r>
      <w:r>
        <w:rPr>
          <w:i/>
        </w:rPr>
        <w:t>[Department/Agency applications, a</w:t>
      </w:r>
      <w:r>
        <w:rPr>
          <w:i/>
        </w:rPr>
        <w:t xml:space="preserve">s well as related users, processes, security, and service management]. </w:t>
      </w:r>
    </w:p>
    <w:p w:rsidR="00A1472F" w:rsidRDefault="00A72F4D">
      <w:pPr>
        <w:spacing w:line="240" w:lineRule="auto"/>
        <w:jc w:val="both"/>
      </w:pPr>
      <w:r>
        <w:t xml:space="preserve">The proposed services will support desired outcomes, including: </w:t>
      </w:r>
    </w:p>
    <w:p w:rsidR="00A1472F" w:rsidRDefault="00A72F4D">
      <w:pPr>
        <w:numPr>
          <w:ilvl w:val="0"/>
          <w:numId w:val="1"/>
        </w:numPr>
        <w:pBdr>
          <w:top w:val="nil"/>
          <w:left w:val="nil"/>
          <w:bottom w:val="nil"/>
          <w:right w:val="nil"/>
          <w:between w:val="nil"/>
        </w:pBdr>
        <w:spacing w:after="0" w:line="240" w:lineRule="auto"/>
        <w:jc w:val="both"/>
        <w:rPr>
          <w:i/>
          <w:color w:val="000000"/>
        </w:rPr>
      </w:pPr>
      <w:r>
        <w:rPr>
          <w:i/>
          <w:color w:val="000000"/>
        </w:rPr>
        <w:t>[Comprehensive analysis and understanding of the current environment, and analysis of which on-premise technical resour</w:t>
      </w:r>
      <w:r>
        <w:rPr>
          <w:i/>
          <w:color w:val="000000"/>
        </w:rPr>
        <w:t>ces are best suited for the cloud.]</w:t>
      </w:r>
    </w:p>
    <w:p w:rsidR="00A1472F" w:rsidRDefault="00A72F4D">
      <w:pPr>
        <w:numPr>
          <w:ilvl w:val="0"/>
          <w:numId w:val="1"/>
        </w:numPr>
        <w:pBdr>
          <w:top w:val="nil"/>
          <w:left w:val="nil"/>
          <w:bottom w:val="nil"/>
          <w:right w:val="nil"/>
          <w:between w:val="nil"/>
        </w:pBdr>
        <w:spacing w:line="240" w:lineRule="auto"/>
        <w:jc w:val="both"/>
        <w:rPr>
          <w:i/>
          <w:color w:val="000000"/>
        </w:rPr>
      </w:pPr>
      <w:r>
        <w:rPr>
          <w:i/>
          <w:color w:val="000000"/>
        </w:rPr>
        <w:t xml:space="preserve">[Comprehensive planning for migration to the cloud that supports cost-effective, secure, and agile IT management.]  </w:t>
      </w:r>
    </w:p>
    <w:p w:rsidR="00A1472F" w:rsidRDefault="00A72F4D">
      <w:pPr>
        <w:spacing w:line="240" w:lineRule="auto"/>
        <w:jc w:val="both"/>
      </w:pPr>
      <w:r>
        <w:t xml:space="preserve">The proposed services will consist of </w:t>
      </w:r>
      <w:r>
        <w:rPr>
          <w:i/>
        </w:rPr>
        <w:t>[determining the current inventory, assessing the current environ</w:t>
      </w:r>
      <w:r>
        <w:rPr>
          <w:i/>
        </w:rPr>
        <w:t>ment to determine which workloads and applications are suitable for migration, determining the service and deployment models, developing the business case, and developing the Cloud Migration Strategy and Plan].</w:t>
      </w:r>
      <w:r>
        <w:t xml:space="preserve">  These services will </w:t>
      </w:r>
      <w:r>
        <w:rPr>
          <w:i/>
        </w:rPr>
        <w:t>[list all capabilities n</w:t>
      </w:r>
      <w:r>
        <w:rPr>
          <w:i/>
        </w:rPr>
        <w:t>ecessary to effectively support cloud migration]</w:t>
      </w:r>
      <w:r>
        <w:t xml:space="preserve">.  All services delivered will be required to meet vendor-offered Service Level Agreements (SLAs) as well as the performance criteria described later in section 6. </w:t>
      </w:r>
    </w:p>
    <w:p w:rsidR="00A1472F" w:rsidRDefault="00A72F4D">
      <w:pPr>
        <w:pStyle w:val="Heading1"/>
        <w:numPr>
          <w:ilvl w:val="0"/>
          <w:numId w:val="3"/>
        </w:numPr>
        <w:rPr>
          <w:rFonts w:ascii="Calibri" w:eastAsia="Calibri" w:hAnsi="Calibri" w:cs="Calibri"/>
        </w:rPr>
      </w:pPr>
      <w:bookmarkStart w:id="9" w:name="_4d34og8" w:colFirst="0" w:colLast="0"/>
      <w:bookmarkEnd w:id="9"/>
      <w:r>
        <w:rPr>
          <w:rFonts w:ascii="Calibri" w:eastAsia="Calibri" w:hAnsi="Calibri" w:cs="Calibri"/>
        </w:rPr>
        <w:t xml:space="preserve">Current Environment </w:t>
      </w:r>
    </w:p>
    <w:p w:rsidR="00A1472F" w:rsidRDefault="00A72F4D">
      <w:pPr>
        <w:spacing w:line="240" w:lineRule="auto"/>
        <w:jc w:val="both"/>
        <w:rPr>
          <w:i/>
        </w:rPr>
      </w:pPr>
      <w:r>
        <w:rPr>
          <w:i/>
        </w:rPr>
        <w:t>[Provide a brief, high</w:t>
      </w:r>
      <w:r>
        <w:rPr>
          <w:i/>
        </w:rPr>
        <w:t xml:space="preserve">-level description of your agency’s current environment.  Examples of current environment factors are listed below]: </w:t>
      </w:r>
    </w:p>
    <w:p w:rsidR="00A1472F" w:rsidRDefault="00A72F4D">
      <w:pPr>
        <w:numPr>
          <w:ilvl w:val="0"/>
          <w:numId w:val="2"/>
        </w:numPr>
        <w:pBdr>
          <w:top w:val="nil"/>
          <w:left w:val="nil"/>
          <w:bottom w:val="nil"/>
          <w:right w:val="nil"/>
          <w:between w:val="nil"/>
        </w:pBdr>
        <w:spacing w:after="0" w:line="240" w:lineRule="auto"/>
        <w:jc w:val="both"/>
        <w:rPr>
          <w:i/>
          <w:color w:val="000000"/>
        </w:rPr>
      </w:pPr>
      <w:r>
        <w:rPr>
          <w:i/>
          <w:color w:val="000000"/>
        </w:rPr>
        <w:t xml:space="preserve">[Strategic operations or mission objectives] </w:t>
      </w:r>
    </w:p>
    <w:p w:rsidR="00A1472F" w:rsidRDefault="00A72F4D">
      <w:pPr>
        <w:numPr>
          <w:ilvl w:val="0"/>
          <w:numId w:val="2"/>
        </w:numPr>
        <w:pBdr>
          <w:top w:val="nil"/>
          <w:left w:val="nil"/>
          <w:bottom w:val="nil"/>
          <w:right w:val="nil"/>
          <w:between w:val="nil"/>
        </w:pBdr>
        <w:spacing w:after="0" w:line="240" w:lineRule="auto"/>
        <w:jc w:val="both"/>
        <w:rPr>
          <w:i/>
          <w:color w:val="000000"/>
        </w:rPr>
      </w:pPr>
      <w:r>
        <w:rPr>
          <w:i/>
          <w:color w:val="000000"/>
        </w:rPr>
        <w:t>[Description of IT organization, infrastructure, etc.]</w:t>
      </w:r>
    </w:p>
    <w:p w:rsidR="00A1472F" w:rsidRDefault="00A72F4D">
      <w:pPr>
        <w:numPr>
          <w:ilvl w:val="0"/>
          <w:numId w:val="2"/>
        </w:numPr>
        <w:pBdr>
          <w:top w:val="nil"/>
          <w:left w:val="nil"/>
          <w:bottom w:val="nil"/>
          <w:right w:val="nil"/>
          <w:between w:val="nil"/>
        </w:pBdr>
        <w:spacing w:after="0" w:line="240" w:lineRule="auto"/>
        <w:jc w:val="both"/>
        <w:rPr>
          <w:i/>
          <w:color w:val="000000"/>
        </w:rPr>
      </w:pPr>
      <w:r>
        <w:rPr>
          <w:i/>
          <w:color w:val="000000"/>
        </w:rPr>
        <w:t>[Prevalence of on-premise or off-site hosting]</w:t>
      </w:r>
    </w:p>
    <w:p w:rsidR="00A1472F" w:rsidRDefault="00A72F4D">
      <w:pPr>
        <w:numPr>
          <w:ilvl w:val="0"/>
          <w:numId w:val="2"/>
        </w:numPr>
        <w:pBdr>
          <w:top w:val="nil"/>
          <w:left w:val="nil"/>
          <w:bottom w:val="nil"/>
          <w:right w:val="nil"/>
          <w:between w:val="nil"/>
        </w:pBdr>
        <w:spacing w:after="0" w:line="240" w:lineRule="auto"/>
        <w:jc w:val="both"/>
        <w:rPr>
          <w:i/>
          <w:color w:val="000000"/>
        </w:rPr>
      </w:pPr>
      <w:r>
        <w:rPr>
          <w:i/>
          <w:color w:val="000000"/>
        </w:rPr>
        <w:t>[Current cloud initiatives and strategy]</w:t>
      </w:r>
    </w:p>
    <w:p w:rsidR="00A1472F" w:rsidRDefault="00A72F4D">
      <w:pPr>
        <w:numPr>
          <w:ilvl w:val="0"/>
          <w:numId w:val="2"/>
        </w:numPr>
        <w:pBdr>
          <w:top w:val="nil"/>
          <w:left w:val="nil"/>
          <w:bottom w:val="nil"/>
          <w:right w:val="nil"/>
          <w:between w:val="nil"/>
        </w:pBdr>
        <w:spacing w:after="0" w:line="240" w:lineRule="auto"/>
        <w:jc w:val="both"/>
        <w:rPr>
          <w:i/>
          <w:color w:val="000000"/>
        </w:rPr>
      </w:pPr>
      <w:r>
        <w:rPr>
          <w:i/>
          <w:color w:val="000000"/>
        </w:rPr>
        <w:t>[Budget constraints]</w:t>
      </w:r>
    </w:p>
    <w:p w:rsidR="00A1472F" w:rsidRDefault="00A72F4D">
      <w:pPr>
        <w:numPr>
          <w:ilvl w:val="0"/>
          <w:numId w:val="2"/>
        </w:numPr>
        <w:pBdr>
          <w:top w:val="nil"/>
          <w:left w:val="nil"/>
          <w:bottom w:val="nil"/>
          <w:right w:val="nil"/>
          <w:between w:val="nil"/>
        </w:pBdr>
        <w:spacing w:line="240" w:lineRule="auto"/>
        <w:jc w:val="both"/>
        <w:rPr>
          <w:i/>
          <w:color w:val="000000"/>
        </w:rPr>
      </w:pPr>
      <w:r>
        <w:rPr>
          <w:i/>
          <w:color w:val="000000"/>
        </w:rPr>
        <w:lastRenderedPageBreak/>
        <w:t>[Related programs that could impact cloud migration (e.g. refresh schedules, large acquisitions).]</w:t>
      </w:r>
    </w:p>
    <w:p w:rsidR="00A1472F" w:rsidRDefault="00A72F4D">
      <w:pPr>
        <w:pStyle w:val="Heading1"/>
        <w:numPr>
          <w:ilvl w:val="0"/>
          <w:numId w:val="3"/>
        </w:numPr>
        <w:rPr>
          <w:rFonts w:ascii="Calibri" w:eastAsia="Calibri" w:hAnsi="Calibri" w:cs="Calibri"/>
        </w:rPr>
      </w:pPr>
      <w:bookmarkStart w:id="10" w:name="_2s8eyo1" w:colFirst="0" w:colLast="0"/>
      <w:bookmarkEnd w:id="10"/>
      <w:r>
        <w:rPr>
          <w:rFonts w:ascii="Calibri" w:eastAsia="Calibri" w:hAnsi="Calibri" w:cs="Calibri"/>
        </w:rPr>
        <w:t>Objectives</w:t>
      </w:r>
    </w:p>
    <w:p w:rsidR="00A1472F" w:rsidRDefault="00A72F4D">
      <w:pPr>
        <w:spacing w:line="240" w:lineRule="auto"/>
      </w:pPr>
      <w:r>
        <w:t xml:space="preserve">The overall objective is to </w:t>
      </w:r>
      <w:r>
        <w:rPr>
          <w:i/>
        </w:rPr>
        <w:t>[assess t</w:t>
      </w:r>
      <w:r>
        <w:rPr>
          <w:i/>
        </w:rPr>
        <w:t>he migration of workloads and applications to the cloud, supported by comprehensive cloud migration planning services].</w:t>
      </w:r>
      <w:r>
        <w:t xml:space="preserve">  To achieve this, these cloud migration planning services must </w:t>
      </w:r>
      <w:r>
        <w:rPr>
          <w:i/>
        </w:rPr>
        <w:t>[meet applicable business, technical, security, management, and administr</w:t>
      </w:r>
      <w:r>
        <w:rPr>
          <w:i/>
        </w:rPr>
        <w:t>ative objectives.   Cloud migration services should be aligned with objectives of the enterprise service delivery model, and support the agency’s ability to deliver future sustainable services.  If an objective corresponds to a particular program phase, it</w:t>
      </w:r>
      <w:r>
        <w:rPr>
          <w:i/>
        </w:rPr>
        <w:t xml:space="preserve"> appears in a subsection labeled: Inventory (Phase 1), Application Mapping (Phase 2), or Migration Planning (Phase 3)]</w:t>
      </w:r>
      <w:r>
        <w:t xml:space="preserve">.   </w:t>
      </w:r>
    </w:p>
    <w:p w:rsidR="00A1472F" w:rsidRDefault="00A72F4D">
      <w:pPr>
        <w:pStyle w:val="Heading2"/>
        <w:numPr>
          <w:ilvl w:val="1"/>
          <w:numId w:val="3"/>
        </w:numPr>
        <w:ind w:left="540" w:hanging="522"/>
        <w:rPr>
          <w:rFonts w:ascii="Calibri" w:eastAsia="Calibri" w:hAnsi="Calibri" w:cs="Calibri"/>
        </w:rPr>
      </w:pPr>
      <w:bookmarkStart w:id="11" w:name="_17dp8vu" w:colFirst="0" w:colLast="0"/>
      <w:bookmarkEnd w:id="11"/>
      <w:r>
        <w:rPr>
          <w:rFonts w:ascii="Calibri" w:eastAsia="Calibri" w:hAnsi="Calibri" w:cs="Calibri"/>
        </w:rPr>
        <w:t>Business Objectives</w:t>
      </w:r>
    </w:p>
    <w:p w:rsidR="00A1472F" w:rsidRDefault="00A72F4D">
      <w:pPr>
        <w:numPr>
          <w:ilvl w:val="2"/>
          <w:numId w:val="3"/>
        </w:numPr>
        <w:tabs>
          <w:tab w:val="left" w:pos="990"/>
        </w:tabs>
        <w:spacing w:before="100" w:line="240" w:lineRule="auto"/>
        <w:ind w:left="990" w:hanging="540"/>
      </w:pPr>
      <w:r>
        <w:t xml:space="preserve"> Enable strategic decisions by </w:t>
      </w:r>
      <w:r>
        <w:rPr>
          <w:i/>
        </w:rPr>
        <w:t xml:space="preserve">[Agency/Department] </w:t>
      </w:r>
      <w:r>
        <w:t>to effectively migrate applications to the cloud, maximizing c</w:t>
      </w:r>
      <w:r>
        <w:t xml:space="preserve">ost reduction and efficiency of IT environment.  </w:t>
      </w:r>
    </w:p>
    <w:p w:rsidR="00A1472F" w:rsidRDefault="00A72F4D">
      <w:pPr>
        <w:numPr>
          <w:ilvl w:val="2"/>
          <w:numId w:val="3"/>
        </w:numPr>
        <w:tabs>
          <w:tab w:val="left" w:pos="990"/>
        </w:tabs>
        <w:spacing w:before="100" w:line="240" w:lineRule="auto"/>
        <w:ind w:left="990" w:hanging="540"/>
      </w:pPr>
      <w:r>
        <w:t xml:space="preserve">Provide maximum alignment to FDCCI requirements and cloud migration mandates and requirements, amplifying </w:t>
      </w:r>
      <w:r>
        <w:rPr>
          <w:i/>
        </w:rPr>
        <w:t>[Agency/Department’s]</w:t>
      </w:r>
      <w:r>
        <w:t xml:space="preserve"> ability to achieve management objectives.</w:t>
      </w:r>
    </w:p>
    <w:p w:rsidR="00A1472F" w:rsidRDefault="00A72F4D">
      <w:pPr>
        <w:numPr>
          <w:ilvl w:val="2"/>
          <w:numId w:val="3"/>
        </w:numPr>
        <w:tabs>
          <w:tab w:val="left" w:pos="990"/>
        </w:tabs>
        <w:spacing w:before="100" w:line="240" w:lineRule="auto"/>
        <w:ind w:left="990" w:hanging="540"/>
      </w:pPr>
      <w:r>
        <w:t xml:space="preserve"> Provide cloud migration services that accommodate considerations from an enterprise perspective including impact on </w:t>
      </w:r>
      <w:r>
        <w:rPr>
          <w:i/>
        </w:rPr>
        <w:t>[Agency/Department]</w:t>
      </w:r>
      <w:r>
        <w:t xml:space="preserve"> business units, contracts, management, and technical components </w:t>
      </w:r>
      <w:r>
        <w:rPr>
          <w:i/>
        </w:rPr>
        <w:t>[(application, infrastructure, and security)].</w:t>
      </w:r>
    </w:p>
    <w:p w:rsidR="00A1472F" w:rsidRDefault="00A72F4D">
      <w:pPr>
        <w:numPr>
          <w:ilvl w:val="2"/>
          <w:numId w:val="3"/>
        </w:numPr>
        <w:tabs>
          <w:tab w:val="left" w:pos="990"/>
        </w:tabs>
        <w:spacing w:before="100" w:line="240" w:lineRule="auto"/>
        <w:ind w:left="990" w:hanging="540"/>
      </w:pPr>
      <w:r>
        <w:t xml:space="preserve">Provide </w:t>
      </w:r>
      <w:r>
        <w:t xml:space="preserve">all support operations necessary to fully develop and deliver services for the appropriate phases </w:t>
      </w:r>
      <w:r>
        <w:rPr>
          <w:i/>
        </w:rPr>
        <w:t>[(Inventory, Application Mapping, Migration Planning)].</w:t>
      </w:r>
      <w:r>
        <w:t xml:space="preserve"> </w:t>
      </w:r>
    </w:p>
    <w:p w:rsidR="00A1472F" w:rsidRDefault="00A72F4D">
      <w:pPr>
        <w:keepNext/>
        <w:numPr>
          <w:ilvl w:val="2"/>
          <w:numId w:val="3"/>
        </w:numPr>
        <w:pBdr>
          <w:top w:val="nil"/>
          <w:left w:val="nil"/>
          <w:bottom w:val="nil"/>
          <w:right w:val="nil"/>
          <w:between w:val="nil"/>
        </w:pBdr>
        <w:tabs>
          <w:tab w:val="left" w:pos="990"/>
        </w:tabs>
        <w:spacing w:before="100" w:after="60" w:line="240" w:lineRule="auto"/>
        <w:ind w:left="990" w:hanging="510"/>
      </w:pPr>
      <w:r>
        <w:rPr>
          <w:b/>
          <w:i/>
          <w:color w:val="000000"/>
        </w:rPr>
        <w:t xml:space="preserve"> [Inventory (Phase 1)]: </w:t>
      </w:r>
    </w:p>
    <w:p w:rsidR="00A1472F" w:rsidRDefault="00A72F4D">
      <w:pPr>
        <w:numPr>
          <w:ilvl w:val="3"/>
          <w:numId w:val="3"/>
        </w:numPr>
        <w:spacing w:before="100" w:after="0" w:line="240" w:lineRule="auto"/>
        <w:ind w:left="1440" w:hanging="360"/>
        <w:rPr>
          <w:i/>
        </w:rPr>
      </w:pPr>
      <w:r>
        <w:rPr>
          <w:i/>
        </w:rPr>
        <w:t>[Utilize industry best practices to conduct an inventory of Agency IT assets to provide Agency/Department with a comprehensive view of Agency/Department applications, infrastructure and security.]</w:t>
      </w:r>
    </w:p>
    <w:p w:rsidR="00A1472F" w:rsidRDefault="00A72F4D">
      <w:pPr>
        <w:numPr>
          <w:ilvl w:val="3"/>
          <w:numId w:val="3"/>
        </w:numPr>
        <w:spacing w:before="100" w:after="0" w:line="240" w:lineRule="auto"/>
        <w:ind w:left="1440" w:hanging="360"/>
        <w:rPr>
          <w:i/>
        </w:rPr>
      </w:pPr>
      <w:r>
        <w:rPr>
          <w:i/>
        </w:rPr>
        <w:t>[Produce thorough analysis resulting in a comprehensive rep</w:t>
      </w:r>
      <w:r>
        <w:rPr>
          <w:i/>
        </w:rPr>
        <w:t>ort on Agency/Department IT users and stakeholders that would be impacted by cloud migration.  For example, stakeholder groups could include Executive Sponsor, Legal &amp; Contracts Management, Business Units, Application, Infrastructure, Security, and End Use</w:t>
      </w:r>
      <w:r>
        <w:rPr>
          <w:i/>
        </w:rPr>
        <w:t xml:space="preserve">r stakeholders.] </w:t>
      </w:r>
    </w:p>
    <w:p w:rsidR="00A1472F" w:rsidRDefault="00A72F4D">
      <w:pPr>
        <w:numPr>
          <w:ilvl w:val="3"/>
          <w:numId w:val="3"/>
        </w:numPr>
        <w:spacing w:before="100" w:after="0" w:line="240" w:lineRule="auto"/>
        <w:ind w:left="1440" w:hanging="360"/>
        <w:rPr>
          <w:i/>
        </w:rPr>
      </w:pPr>
      <w:r>
        <w:rPr>
          <w:i/>
        </w:rPr>
        <w:t>[Describe approach and methodology for identifying the business processes and governance processes that are associated with current inventory (both applications &amp; infrastructure).]</w:t>
      </w:r>
    </w:p>
    <w:p w:rsidR="00A1472F" w:rsidRDefault="00A72F4D">
      <w:pPr>
        <w:numPr>
          <w:ilvl w:val="2"/>
          <w:numId w:val="3"/>
        </w:numPr>
        <w:tabs>
          <w:tab w:val="left" w:pos="990"/>
        </w:tabs>
        <w:spacing w:before="100" w:line="240" w:lineRule="auto"/>
        <w:ind w:left="990" w:hanging="540"/>
        <w:rPr>
          <w:i/>
        </w:rPr>
      </w:pPr>
      <w:r>
        <w:rPr>
          <w:b/>
          <w:i/>
        </w:rPr>
        <w:t>[Application Mapping and Assessment (Phase 2)]</w:t>
      </w:r>
      <w:r>
        <w:rPr>
          <w:i/>
        </w:rPr>
        <w:t xml:space="preserve">: </w:t>
      </w:r>
    </w:p>
    <w:p w:rsidR="00A1472F" w:rsidRDefault="00A72F4D">
      <w:pPr>
        <w:numPr>
          <w:ilvl w:val="3"/>
          <w:numId w:val="3"/>
        </w:numPr>
        <w:spacing w:before="100" w:after="0" w:line="240" w:lineRule="auto"/>
        <w:ind w:left="1440" w:hanging="360"/>
        <w:rPr>
          <w:i/>
        </w:rPr>
      </w:pPr>
      <w:r>
        <w:rPr>
          <w:i/>
        </w:rPr>
        <w:t>[Provide</w:t>
      </w:r>
      <w:r>
        <w:rPr>
          <w:i/>
        </w:rPr>
        <w:t xml:space="preserve"> work products for application mapping that result in the Agency/Department’s understanding of the benefits and implications of moving individual applications or groups of applications to the cloud.]</w:t>
      </w:r>
    </w:p>
    <w:p w:rsidR="00A1472F" w:rsidRDefault="00A72F4D">
      <w:pPr>
        <w:numPr>
          <w:ilvl w:val="3"/>
          <w:numId w:val="3"/>
        </w:numPr>
        <w:spacing w:before="100" w:after="0" w:line="240" w:lineRule="auto"/>
        <w:ind w:left="1440" w:hanging="360"/>
        <w:rPr>
          <w:i/>
        </w:rPr>
      </w:pPr>
      <w:r>
        <w:rPr>
          <w:i/>
        </w:rPr>
        <w:t>[Utilize existing frameworks and data fields as prescrib</w:t>
      </w:r>
      <w:r>
        <w:rPr>
          <w:i/>
        </w:rPr>
        <w:t>ed by the FDCCI or agency data center consolidation efforts.]</w:t>
      </w:r>
    </w:p>
    <w:p w:rsidR="00A1472F" w:rsidRDefault="00A72F4D">
      <w:pPr>
        <w:numPr>
          <w:ilvl w:val="3"/>
          <w:numId w:val="3"/>
        </w:numPr>
        <w:spacing w:before="100" w:after="0" w:line="240" w:lineRule="auto"/>
        <w:ind w:left="1440" w:hanging="360"/>
        <w:rPr>
          <w:i/>
        </w:rPr>
      </w:pPr>
      <w:r>
        <w:rPr>
          <w:i/>
        </w:rPr>
        <w:lastRenderedPageBreak/>
        <w:t xml:space="preserve">[Produce “quick win” analysis of applications that are well-suited for accelerated deployment to the cloud, and provide recommendations for executing this migration.] </w:t>
      </w:r>
    </w:p>
    <w:p w:rsidR="00A1472F" w:rsidRDefault="00A72F4D">
      <w:pPr>
        <w:keepNext/>
        <w:numPr>
          <w:ilvl w:val="2"/>
          <w:numId w:val="3"/>
        </w:numPr>
        <w:pBdr>
          <w:top w:val="nil"/>
          <w:left w:val="nil"/>
          <w:bottom w:val="nil"/>
          <w:right w:val="nil"/>
          <w:between w:val="nil"/>
        </w:pBdr>
        <w:tabs>
          <w:tab w:val="left" w:pos="990"/>
        </w:tabs>
        <w:spacing w:before="100" w:after="60" w:line="240" w:lineRule="auto"/>
        <w:ind w:left="990" w:hanging="510"/>
      </w:pPr>
      <w:r>
        <w:rPr>
          <w:b/>
          <w:i/>
          <w:color w:val="000000"/>
        </w:rPr>
        <w:t>[Migration Planning (Phase</w:t>
      </w:r>
      <w:r>
        <w:rPr>
          <w:b/>
          <w:i/>
          <w:color w:val="000000"/>
        </w:rPr>
        <w:t xml:space="preserve"> 3)]: </w:t>
      </w:r>
    </w:p>
    <w:p w:rsidR="00A1472F" w:rsidRDefault="00A72F4D">
      <w:pPr>
        <w:numPr>
          <w:ilvl w:val="3"/>
          <w:numId w:val="3"/>
        </w:numPr>
        <w:spacing w:before="100" w:after="0" w:line="240" w:lineRule="auto"/>
        <w:ind w:left="1440" w:hanging="360"/>
        <w:rPr>
          <w:i/>
        </w:rPr>
      </w:pPr>
      <w:r>
        <w:rPr>
          <w:i/>
        </w:rPr>
        <w:t>[Produce a roadmap for Agency/Department to effectively plan for cloud migration that maximizes cost reduction and identifies constraints and inhibitors to cloud migration. Considerations for this roadmap include:]</w:t>
      </w:r>
    </w:p>
    <w:p w:rsidR="00A1472F" w:rsidRDefault="00A72F4D">
      <w:pPr>
        <w:numPr>
          <w:ilvl w:val="4"/>
          <w:numId w:val="3"/>
        </w:numPr>
        <w:spacing w:before="100" w:after="0" w:line="240" w:lineRule="auto"/>
        <w:ind w:left="1980" w:hanging="360"/>
        <w:rPr>
          <w:i/>
        </w:rPr>
      </w:pPr>
      <w:r>
        <w:rPr>
          <w:i/>
        </w:rPr>
        <w:t>[Describe approach to developing a</w:t>
      </w:r>
      <w:r>
        <w:rPr>
          <w:i/>
        </w:rPr>
        <w:t xml:space="preserve"> business case for migration to include comparison of current expenditures to proposed expenditures (ranging from facility, hardware, middleware &amp; database, infrastructure etc.), demonstrating ROI of proposed solution.]</w:t>
      </w:r>
    </w:p>
    <w:p w:rsidR="00A1472F" w:rsidRDefault="00A72F4D">
      <w:pPr>
        <w:numPr>
          <w:ilvl w:val="4"/>
          <w:numId w:val="3"/>
        </w:numPr>
        <w:spacing w:before="100" w:after="0" w:line="240" w:lineRule="auto"/>
        <w:ind w:left="1980" w:hanging="360"/>
        <w:rPr>
          <w:i/>
        </w:rPr>
      </w:pPr>
      <w:r>
        <w:rPr>
          <w:i/>
        </w:rPr>
        <w:t>[Provide a migration plan describing</w:t>
      </w:r>
      <w:r>
        <w:rPr>
          <w:i/>
        </w:rPr>
        <w:t xml:space="preserve"> recommendations for migration that encompasses the appropriate service models (SaaS, PaaS, or IaaS), and deployment model (private, public, community, etc.) of all services to be migrated, as well as rationale for the recommended cloud models.]</w:t>
      </w:r>
    </w:p>
    <w:p w:rsidR="00A1472F" w:rsidRDefault="00A72F4D">
      <w:pPr>
        <w:numPr>
          <w:ilvl w:val="4"/>
          <w:numId w:val="3"/>
        </w:numPr>
        <w:spacing w:before="100" w:after="0" w:line="240" w:lineRule="auto"/>
        <w:ind w:left="1980" w:hanging="360"/>
        <w:rPr>
          <w:i/>
        </w:rPr>
      </w:pPr>
      <w:r>
        <w:rPr>
          <w:i/>
        </w:rPr>
        <w:t xml:space="preserve">[Provide recommendations for cloud migration based on applications’ development lifecycle, business relevance, security impacts, organizational roles, financial aspects of cloud service delivery, and other migration considerations.] </w:t>
      </w:r>
    </w:p>
    <w:p w:rsidR="00A1472F" w:rsidRDefault="00A72F4D">
      <w:pPr>
        <w:numPr>
          <w:ilvl w:val="4"/>
          <w:numId w:val="3"/>
        </w:numPr>
        <w:spacing w:before="100" w:after="0" w:line="240" w:lineRule="auto"/>
        <w:ind w:left="1980" w:hanging="360"/>
        <w:rPr>
          <w:i/>
        </w:rPr>
      </w:pPr>
      <w:r>
        <w:rPr>
          <w:i/>
        </w:rPr>
        <w:t>[Address sourcing mode</w:t>
      </w:r>
      <w:r>
        <w:rPr>
          <w:i/>
        </w:rPr>
        <w:t xml:space="preserve">l that will be authorized to control where applications will be hosted based on security, performance, disaster recovery, and service level requirements.] </w:t>
      </w:r>
    </w:p>
    <w:p w:rsidR="00A1472F" w:rsidRDefault="00A72F4D">
      <w:pPr>
        <w:numPr>
          <w:ilvl w:val="4"/>
          <w:numId w:val="3"/>
        </w:numPr>
        <w:spacing w:before="100" w:after="0" w:line="240" w:lineRule="auto"/>
        <w:ind w:left="1980" w:hanging="360"/>
        <w:rPr>
          <w:i/>
        </w:rPr>
      </w:pPr>
      <w:r>
        <w:rPr>
          <w:i/>
        </w:rPr>
        <w:t>[Provide recommendations for incorporating government-wide and agency-specific security controls int</w:t>
      </w:r>
      <w:r>
        <w:rPr>
          <w:i/>
        </w:rPr>
        <w:t xml:space="preserve">o the target design and migration plan.] </w:t>
      </w:r>
    </w:p>
    <w:p w:rsidR="00A1472F" w:rsidRDefault="00A72F4D">
      <w:pPr>
        <w:numPr>
          <w:ilvl w:val="3"/>
          <w:numId w:val="3"/>
        </w:numPr>
        <w:spacing w:before="100" w:after="0" w:line="240" w:lineRule="auto"/>
        <w:ind w:left="1440" w:hanging="360"/>
        <w:rPr>
          <w:i/>
        </w:rPr>
      </w:pPr>
      <w:r>
        <w:rPr>
          <w:i/>
        </w:rPr>
        <w:t>[Describe approach to identify and manage communication, change management, and training needs for migration planning.]</w:t>
      </w:r>
    </w:p>
    <w:p w:rsidR="00A1472F" w:rsidRDefault="00A72F4D">
      <w:pPr>
        <w:numPr>
          <w:ilvl w:val="3"/>
          <w:numId w:val="3"/>
        </w:numPr>
        <w:spacing w:before="100" w:after="0" w:line="240" w:lineRule="auto"/>
        <w:ind w:left="1440" w:hanging="360"/>
        <w:rPr>
          <w:i/>
        </w:rPr>
      </w:pPr>
      <w:r>
        <w:rPr>
          <w:i/>
        </w:rPr>
        <w:t>[Produce a plan that will have the IT management environment encompassing the management of co</w:t>
      </w:r>
      <w:r>
        <w:rPr>
          <w:i/>
        </w:rPr>
        <w:t xml:space="preserve">nventional hosting, private and public clouds.] </w:t>
      </w:r>
    </w:p>
    <w:p w:rsidR="00A1472F" w:rsidRDefault="00A72F4D">
      <w:pPr>
        <w:numPr>
          <w:ilvl w:val="3"/>
          <w:numId w:val="3"/>
        </w:numPr>
        <w:spacing w:before="100" w:after="0" w:line="240" w:lineRule="auto"/>
        <w:ind w:left="1440" w:hanging="360"/>
        <w:rPr>
          <w:i/>
        </w:rPr>
      </w:pPr>
      <w:r>
        <w:rPr>
          <w:i/>
        </w:rPr>
        <w:t>[Describe approach to ensure that procedures and documentation are developed for migration execution.]</w:t>
      </w:r>
    </w:p>
    <w:p w:rsidR="00A1472F" w:rsidRDefault="00A72F4D">
      <w:pPr>
        <w:numPr>
          <w:ilvl w:val="3"/>
          <w:numId w:val="3"/>
        </w:numPr>
        <w:spacing w:before="100" w:after="0" w:line="240" w:lineRule="auto"/>
        <w:ind w:left="1440" w:hanging="360"/>
        <w:rPr>
          <w:i/>
        </w:rPr>
      </w:pPr>
      <w:r>
        <w:rPr>
          <w:i/>
        </w:rPr>
        <w:t>[Describe approach to cloud governance for post-implementation.This aspect cannot be over emphasized.  F</w:t>
      </w:r>
      <w:r>
        <w:rPr>
          <w:i/>
        </w:rPr>
        <w:t>or example, who within the agency will be responsible for authorizing the real time  provisioning of cloud resources and who will be responsible for reviewing utilization reports and then de-provisioning cloud resources which are no longer being used? ]</w:t>
      </w:r>
    </w:p>
    <w:p w:rsidR="00A1472F" w:rsidRDefault="00A72F4D">
      <w:pPr>
        <w:pStyle w:val="Heading2"/>
        <w:numPr>
          <w:ilvl w:val="1"/>
          <w:numId w:val="3"/>
        </w:numPr>
        <w:ind w:left="540" w:hanging="522"/>
        <w:rPr>
          <w:rFonts w:ascii="Calibri" w:eastAsia="Calibri" w:hAnsi="Calibri" w:cs="Calibri"/>
        </w:rPr>
      </w:pPr>
      <w:bookmarkStart w:id="12" w:name="_3rdcrjn" w:colFirst="0" w:colLast="0"/>
      <w:bookmarkEnd w:id="12"/>
      <w:r>
        <w:rPr>
          <w:rFonts w:ascii="Calibri" w:eastAsia="Calibri" w:hAnsi="Calibri" w:cs="Calibri"/>
        </w:rPr>
        <w:t>Te</w:t>
      </w:r>
      <w:r>
        <w:rPr>
          <w:rFonts w:ascii="Calibri" w:eastAsia="Calibri" w:hAnsi="Calibri" w:cs="Calibri"/>
        </w:rPr>
        <w:t>chnical Objectives</w:t>
      </w:r>
    </w:p>
    <w:p w:rsidR="00A1472F" w:rsidRDefault="00A72F4D">
      <w:pPr>
        <w:numPr>
          <w:ilvl w:val="2"/>
          <w:numId w:val="3"/>
        </w:numPr>
        <w:tabs>
          <w:tab w:val="left" w:pos="990"/>
        </w:tabs>
        <w:spacing w:before="100" w:line="240" w:lineRule="auto"/>
        <w:ind w:left="990" w:hanging="540"/>
      </w:pPr>
      <w:r>
        <w:t>Provide all technical advisory services necessary to fully develop and deliver services for the appropriate phases</w:t>
      </w:r>
      <w:r>
        <w:rPr>
          <w:i/>
          <w:color w:val="FF0000"/>
        </w:rPr>
        <w:t xml:space="preserve"> </w:t>
      </w:r>
      <w:r>
        <w:rPr>
          <w:i/>
        </w:rPr>
        <w:t>[(Inventory, Application Mapping, Migration Planning)].</w:t>
      </w:r>
    </w:p>
    <w:p w:rsidR="00A1472F" w:rsidRDefault="00A72F4D">
      <w:pPr>
        <w:numPr>
          <w:ilvl w:val="2"/>
          <w:numId w:val="3"/>
        </w:numPr>
        <w:tabs>
          <w:tab w:val="left" w:pos="990"/>
        </w:tabs>
        <w:spacing w:before="100" w:line="240" w:lineRule="auto"/>
        <w:ind w:left="990" w:hanging="540"/>
      </w:pPr>
      <w:r>
        <w:t xml:space="preserve">Provide </w:t>
      </w:r>
      <w:r>
        <w:rPr>
          <w:i/>
        </w:rPr>
        <w:t>[cloud migration planning]</w:t>
      </w:r>
      <w:r>
        <w:t xml:space="preserve"> services that account for the s</w:t>
      </w:r>
      <w:r>
        <w:t xml:space="preserve">ystems lifecycle, ranging from development, testing, and production.  Provide services that include considerations for maintaining cloud services post-deployment. </w:t>
      </w:r>
    </w:p>
    <w:p w:rsidR="00A1472F" w:rsidRDefault="00A72F4D">
      <w:pPr>
        <w:keepNext/>
        <w:numPr>
          <w:ilvl w:val="2"/>
          <w:numId w:val="3"/>
        </w:numPr>
        <w:pBdr>
          <w:top w:val="nil"/>
          <w:left w:val="nil"/>
          <w:bottom w:val="nil"/>
          <w:right w:val="nil"/>
          <w:between w:val="nil"/>
        </w:pBdr>
        <w:tabs>
          <w:tab w:val="left" w:pos="990"/>
        </w:tabs>
        <w:spacing w:before="100" w:after="60" w:line="240" w:lineRule="auto"/>
        <w:ind w:left="990" w:hanging="510"/>
      </w:pPr>
      <w:r>
        <w:rPr>
          <w:b/>
          <w:i/>
          <w:color w:val="000000"/>
        </w:rPr>
        <w:lastRenderedPageBreak/>
        <w:t xml:space="preserve"> [Inventory (Phase 1)]:</w:t>
      </w:r>
    </w:p>
    <w:p w:rsidR="00A1472F" w:rsidRDefault="00A72F4D">
      <w:pPr>
        <w:numPr>
          <w:ilvl w:val="3"/>
          <w:numId w:val="3"/>
        </w:numPr>
        <w:spacing w:before="100" w:after="0" w:line="240" w:lineRule="auto"/>
        <w:ind w:left="1440" w:hanging="360"/>
        <w:rPr>
          <w:i/>
        </w:rPr>
      </w:pPr>
      <w:r>
        <w:rPr>
          <w:i/>
        </w:rPr>
        <w:t>[Produce a baseline of Agency/Department’s technical environment inc</w:t>
      </w:r>
      <w:r>
        <w:rPr>
          <w:i/>
        </w:rPr>
        <w:t xml:space="preserve">luding inventory of both infrastructure and applications, to include development/testing environments]. </w:t>
      </w:r>
    </w:p>
    <w:p w:rsidR="00A1472F" w:rsidRDefault="00A72F4D">
      <w:pPr>
        <w:numPr>
          <w:ilvl w:val="3"/>
          <w:numId w:val="3"/>
        </w:numPr>
        <w:spacing w:before="100" w:after="0" w:line="240" w:lineRule="auto"/>
        <w:ind w:left="1440" w:hanging="360"/>
        <w:rPr>
          <w:i/>
        </w:rPr>
      </w:pPr>
      <w:r>
        <w:rPr>
          <w:i/>
        </w:rPr>
        <w:t>[Describe considerations for inventorying the infrastructure such as hardware, application, middleware &amp;</w:t>
      </w:r>
      <w:r>
        <w:rPr>
          <w:i/>
        </w:rPr>
        <w:t xml:space="preserve"> databases, networks, as well as any other relevant factors or components of the infrastructure.]</w:t>
      </w:r>
    </w:p>
    <w:p w:rsidR="00A1472F" w:rsidRDefault="00A72F4D">
      <w:pPr>
        <w:numPr>
          <w:ilvl w:val="3"/>
          <w:numId w:val="3"/>
        </w:numPr>
        <w:spacing w:before="100" w:after="0" w:line="240" w:lineRule="auto"/>
        <w:ind w:left="1440" w:hanging="360"/>
        <w:rPr>
          <w:i/>
        </w:rPr>
      </w:pPr>
      <w:r>
        <w:rPr>
          <w:i/>
        </w:rPr>
        <w:t>[Include how any changes to the applications or their deployment will affect interfaces with enterprise services, e.g. authentication and authorization.]</w:t>
      </w:r>
    </w:p>
    <w:p w:rsidR="00A1472F" w:rsidRDefault="00A72F4D">
      <w:pPr>
        <w:numPr>
          <w:ilvl w:val="3"/>
          <w:numId w:val="3"/>
        </w:numPr>
        <w:spacing w:before="100" w:after="0" w:line="240" w:lineRule="auto"/>
        <w:ind w:left="1440" w:hanging="360"/>
        <w:rPr>
          <w:i/>
        </w:rPr>
      </w:pPr>
      <w:r>
        <w:rPr>
          <w:i/>
        </w:rPr>
        <w:t>[Des</w:t>
      </w:r>
      <w:r>
        <w:rPr>
          <w:i/>
        </w:rPr>
        <w:t>cribe methodology for utilization of auto-discovery tools to complete the inventory tasks.]</w:t>
      </w:r>
    </w:p>
    <w:p w:rsidR="00A1472F" w:rsidRDefault="00A72F4D">
      <w:pPr>
        <w:keepNext/>
        <w:numPr>
          <w:ilvl w:val="2"/>
          <w:numId w:val="3"/>
        </w:numPr>
        <w:pBdr>
          <w:top w:val="nil"/>
          <w:left w:val="nil"/>
          <w:bottom w:val="nil"/>
          <w:right w:val="nil"/>
          <w:between w:val="nil"/>
        </w:pBdr>
        <w:tabs>
          <w:tab w:val="left" w:pos="990"/>
        </w:tabs>
        <w:spacing w:before="100" w:after="60" w:line="240" w:lineRule="auto"/>
        <w:ind w:left="990" w:hanging="510"/>
      </w:pPr>
      <w:r>
        <w:rPr>
          <w:b/>
          <w:i/>
          <w:color w:val="000000"/>
        </w:rPr>
        <w:t xml:space="preserve"> [Application Mapping and Assessment (Phase 2)]: </w:t>
      </w:r>
      <w:r>
        <w:rPr>
          <w:b/>
          <w:i/>
          <w:color w:val="000000"/>
        </w:rPr>
        <w:tab/>
      </w:r>
    </w:p>
    <w:p w:rsidR="00A1472F" w:rsidRDefault="00A72F4D">
      <w:pPr>
        <w:numPr>
          <w:ilvl w:val="3"/>
          <w:numId w:val="3"/>
        </w:numPr>
        <w:spacing w:before="100" w:after="0" w:line="240" w:lineRule="auto"/>
        <w:ind w:left="1440" w:hanging="360"/>
        <w:rPr>
          <w:i/>
        </w:rPr>
      </w:pPr>
      <w:r>
        <w:rPr>
          <w:i/>
        </w:rPr>
        <w:t xml:space="preserve">[Provide technical services for application mapping including illuminating interdependencies such as application </w:t>
      </w:r>
      <w:r>
        <w:rPr>
          <w:i/>
        </w:rPr>
        <w:t>dependencies and affinities to servers, server configuration etc.]</w:t>
      </w:r>
    </w:p>
    <w:p w:rsidR="00A1472F" w:rsidRDefault="00A72F4D">
      <w:pPr>
        <w:numPr>
          <w:ilvl w:val="3"/>
          <w:numId w:val="3"/>
        </w:numPr>
        <w:spacing w:before="100" w:after="0" w:line="240" w:lineRule="auto"/>
        <w:ind w:left="1440" w:hanging="360"/>
        <w:rPr>
          <w:i/>
        </w:rPr>
      </w:pPr>
      <w:r>
        <w:rPr>
          <w:i/>
        </w:rPr>
        <w:t>[Identify and document critical dependencies between applications and data.]</w:t>
      </w:r>
    </w:p>
    <w:p w:rsidR="00A1472F" w:rsidRDefault="00A72F4D">
      <w:pPr>
        <w:numPr>
          <w:ilvl w:val="3"/>
          <w:numId w:val="3"/>
        </w:numPr>
        <w:spacing w:before="100" w:after="0" w:line="240" w:lineRule="auto"/>
        <w:ind w:left="1440" w:hanging="360"/>
        <w:rPr>
          <w:i/>
        </w:rPr>
      </w:pPr>
      <w:r>
        <w:rPr>
          <w:i/>
        </w:rPr>
        <w:t>[Describe approach to developing application evaluation criteria, application profiling, and application depende</w:t>
      </w:r>
      <w:r>
        <w:rPr>
          <w:i/>
        </w:rPr>
        <w:t xml:space="preserve">ncy mapping:] </w:t>
      </w:r>
    </w:p>
    <w:p w:rsidR="00A1472F" w:rsidRDefault="00A72F4D">
      <w:pPr>
        <w:numPr>
          <w:ilvl w:val="4"/>
          <w:numId w:val="3"/>
        </w:numPr>
        <w:spacing w:before="100" w:after="0" w:line="240" w:lineRule="auto"/>
        <w:ind w:left="1980" w:hanging="360"/>
        <w:rPr>
          <w:i/>
        </w:rPr>
      </w:pPr>
      <w:r>
        <w:rPr>
          <w:i/>
        </w:rPr>
        <w:t>[Include approach to mapping multi-purpose applications.]</w:t>
      </w:r>
    </w:p>
    <w:p w:rsidR="00A1472F" w:rsidRDefault="00A72F4D">
      <w:pPr>
        <w:numPr>
          <w:ilvl w:val="4"/>
          <w:numId w:val="3"/>
        </w:numPr>
        <w:spacing w:before="100" w:after="0" w:line="240" w:lineRule="auto"/>
        <w:ind w:left="1980" w:hanging="360"/>
        <w:rPr>
          <w:i/>
        </w:rPr>
      </w:pPr>
      <w:r>
        <w:rPr>
          <w:i/>
        </w:rPr>
        <w:t>[Identify and describe methodology for analyzing applications/infrastructure across a range of lifecycle stages (e.g. development, testing, and production).]</w:t>
      </w:r>
    </w:p>
    <w:p w:rsidR="00A1472F" w:rsidRDefault="00A72F4D">
      <w:pPr>
        <w:numPr>
          <w:ilvl w:val="3"/>
          <w:numId w:val="3"/>
        </w:numPr>
        <w:spacing w:before="100" w:after="0" w:line="240" w:lineRule="auto"/>
        <w:ind w:left="1440" w:hanging="360"/>
        <w:rPr>
          <w:i/>
        </w:rPr>
      </w:pPr>
      <w:r>
        <w:rPr>
          <w:i/>
        </w:rPr>
        <w:t>[Describe approach for decomposition of applications and identification of common functions and services that can potentially be migrated to the cloud, and identification of potential shared services.]</w:t>
      </w:r>
    </w:p>
    <w:p w:rsidR="00A1472F" w:rsidRDefault="00A72F4D">
      <w:pPr>
        <w:keepNext/>
        <w:numPr>
          <w:ilvl w:val="2"/>
          <w:numId w:val="3"/>
        </w:numPr>
        <w:pBdr>
          <w:top w:val="nil"/>
          <w:left w:val="nil"/>
          <w:bottom w:val="nil"/>
          <w:right w:val="nil"/>
          <w:between w:val="nil"/>
        </w:pBdr>
        <w:tabs>
          <w:tab w:val="left" w:pos="990"/>
        </w:tabs>
        <w:spacing w:before="100" w:after="60" w:line="240" w:lineRule="auto"/>
        <w:ind w:left="990" w:hanging="510"/>
      </w:pPr>
      <w:r>
        <w:rPr>
          <w:b/>
          <w:i/>
          <w:color w:val="000000"/>
        </w:rPr>
        <w:t xml:space="preserve">[Cloud Migration (Phase 3)]: </w:t>
      </w:r>
    </w:p>
    <w:p w:rsidR="00A1472F" w:rsidRDefault="00A72F4D">
      <w:pPr>
        <w:numPr>
          <w:ilvl w:val="3"/>
          <w:numId w:val="3"/>
        </w:numPr>
        <w:spacing w:before="100" w:after="0" w:line="240" w:lineRule="auto"/>
        <w:ind w:left="1440" w:hanging="360"/>
        <w:rPr>
          <w:i/>
        </w:rPr>
      </w:pPr>
      <w:r>
        <w:rPr>
          <w:i/>
        </w:rPr>
        <w:t>[Deliver a technical arc</w:t>
      </w:r>
      <w:r>
        <w:rPr>
          <w:i/>
        </w:rPr>
        <w:t>hitecture capturing the “to-be” cloud migration state that is consistent with adopted federal enterprise architecture frameworks</w:t>
      </w:r>
      <w:r>
        <w:rPr>
          <w:i/>
          <w:vertAlign w:val="superscript"/>
        </w:rPr>
        <w:footnoteReference w:id="4"/>
      </w:r>
      <w:r>
        <w:rPr>
          <w:i/>
        </w:rPr>
        <w:t xml:space="preserve"> and consistent with specific Agency/Department architecture standards.]</w:t>
      </w:r>
    </w:p>
    <w:p w:rsidR="00A1472F" w:rsidRDefault="00A72F4D">
      <w:pPr>
        <w:numPr>
          <w:ilvl w:val="3"/>
          <w:numId w:val="3"/>
        </w:numPr>
        <w:spacing w:before="100" w:after="0" w:line="240" w:lineRule="auto"/>
        <w:ind w:left="1440" w:hanging="360"/>
        <w:rPr>
          <w:i/>
        </w:rPr>
      </w:pPr>
      <w:r>
        <w:rPr>
          <w:i/>
        </w:rPr>
        <w:t>[Include considerations in the migration planning solu</w:t>
      </w:r>
      <w:r>
        <w:rPr>
          <w:i/>
        </w:rPr>
        <w:t xml:space="preserve">tion for the target design such as capacity, schedules, migration priority, cost, etc.]  </w:t>
      </w:r>
    </w:p>
    <w:p w:rsidR="00A1472F" w:rsidRDefault="00A72F4D">
      <w:pPr>
        <w:numPr>
          <w:ilvl w:val="3"/>
          <w:numId w:val="3"/>
        </w:numPr>
        <w:spacing w:before="100" w:after="0" w:line="240" w:lineRule="auto"/>
        <w:ind w:left="1440" w:hanging="360"/>
        <w:rPr>
          <w:i/>
        </w:rPr>
      </w:pPr>
      <w:r>
        <w:rPr>
          <w:i/>
        </w:rPr>
        <w:t>[Describe approach to providing technical advice to cloud migration that will enable Agency/Department to implement metering to migrated cloud services including prov</w:t>
      </w:r>
      <w:r>
        <w:rPr>
          <w:i/>
        </w:rPr>
        <w:t xml:space="preserve">isioning capabilities, accounting capabilities, billing capabilities, etc.] </w:t>
      </w:r>
    </w:p>
    <w:p w:rsidR="00A1472F" w:rsidRDefault="00A72F4D">
      <w:pPr>
        <w:numPr>
          <w:ilvl w:val="3"/>
          <w:numId w:val="3"/>
        </w:numPr>
        <w:spacing w:before="100" w:after="0" w:line="240" w:lineRule="auto"/>
        <w:ind w:left="1440" w:hanging="360"/>
        <w:rPr>
          <w:i/>
        </w:rPr>
      </w:pPr>
      <w:r>
        <w:rPr>
          <w:i/>
        </w:rPr>
        <w:t>[Describe approach to testing for migration planning.]</w:t>
      </w:r>
    </w:p>
    <w:p w:rsidR="00A1472F" w:rsidRDefault="00A72F4D">
      <w:pPr>
        <w:numPr>
          <w:ilvl w:val="3"/>
          <w:numId w:val="3"/>
        </w:numPr>
        <w:spacing w:before="100" w:after="0" w:line="240" w:lineRule="auto"/>
        <w:ind w:left="1440" w:hanging="360"/>
        <w:rPr>
          <w:i/>
        </w:rPr>
      </w:pPr>
      <w:r>
        <w:rPr>
          <w:i/>
        </w:rPr>
        <w:t xml:space="preserve">[Produce a plan that will support co-existing non-cloud and cloud architectures during and after migration.] </w:t>
      </w:r>
    </w:p>
    <w:p w:rsidR="00A1472F" w:rsidRDefault="00A72F4D">
      <w:pPr>
        <w:pStyle w:val="Heading2"/>
        <w:numPr>
          <w:ilvl w:val="1"/>
          <w:numId w:val="3"/>
        </w:numPr>
        <w:ind w:left="540" w:hanging="522"/>
        <w:rPr>
          <w:rFonts w:ascii="Calibri" w:eastAsia="Calibri" w:hAnsi="Calibri" w:cs="Calibri"/>
        </w:rPr>
      </w:pPr>
      <w:bookmarkStart w:id="13" w:name="_26in1rg" w:colFirst="0" w:colLast="0"/>
      <w:bookmarkEnd w:id="13"/>
      <w:r>
        <w:rPr>
          <w:rFonts w:ascii="Calibri" w:eastAsia="Calibri" w:hAnsi="Calibri" w:cs="Calibri"/>
        </w:rPr>
        <w:lastRenderedPageBreak/>
        <w:t xml:space="preserve">Security Objectives </w:t>
      </w:r>
    </w:p>
    <w:p w:rsidR="00A1472F" w:rsidRDefault="00A72F4D">
      <w:pPr>
        <w:numPr>
          <w:ilvl w:val="2"/>
          <w:numId w:val="3"/>
        </w:numPr>
        <w:tabs>
          <w:tab w:val="left" w:pos="990"/>
        </w:tabs>
        <w:spacing w:before="100" w:line="240" w:lineRule="auto"/>
        <w:ind w:left="990" w:hanging="540"/>
        <w:rPr>
          <w:i/>
        </w:rPr>
      </w:pPr>
      <w:r>
        <w:rPr>
          <w:i/>
        </w:rPr>
        <w:t>[Provide comprehensive analysis of current applications and infrastructure that incorporates considerations for security such as data sensitivity, legal or other regulatory issues, disaster recovery, currently deployed remote access or</w:t>
      </w:r>
      <w:r>
        <w:rPr>
          <w:i/>
        </w:rPr>
        <w:t xml:space="preserve"> internal security considerations, etc.] </w:t>
      </w:r>
    </w:p>
    <w:p w:rsidR="00A1472F" w:rsidRDefault="00A72F4D">
      <w:pPr>
        <w:numPr>
          <w:ilvl w:val="2"/>
          <w:numId w:val="3"/>
        </w:numPr>
        <w:tabs>
          <w:tab w:val="left" w:pos="990"/>
        </w:tabs>
        <w:spacing w:before="100" w:line="240" w:lineRule="auto"/>
        <w:ind w:left="990" w:hanging="540"/>
        <w:rPr>
          <w:i/>
        </w:rPr>
      </w:pPr>
      <w:r>
        <w:rPr>
          <w:i/>
        </w:rPr>
        <w:t>[Provide support and services in compliance and in alignment with Federal Risk and Authorization Management Program (FedRAMP) standardized security assessment, authorization, and continuous monitoring policies in m</w:t>
      </w:r>
      <w:r>
        <w:rPr>
          <w:i/>
        </w:rPr>
        <w:t>igration planning services, as required by the scope of the project.]</w:t>
      </w:r>
    </w:p>
    <w:p w:rsidR="00A1472F" w:rsidRDefault="00A72F4D">
      <w:pPr>
        <w:numPr>
          <w:ilvl w:val="2"/>
          <w:numId w:val="3"/>
        </w:numPr>
        <w:tabs>
          <w:tab w:val="left" w:pos="990"/>
        </w:tabs>
        <w:spacing w:before="100" w:line="240" w:lineRule="auto"/>
        <w:ind w:left="990" w:hanging="540"/>
        <w:rPr>
          <w:i/>
        </w:rPr>
      </w:pPr>
      <w:r>
        <w:rPr>
          <w:i/>
        </w:rPr>
        <w:t>[Provide technical services regarding security and privacy in the migration planning services that are consistent with NIST Special Publication 800-144 – “Guidelines on Security and Priv</w:t>
      </w:r>
      <w:r>
        <w:rPr>
          <w:i/>
        </w:rPr>
        <w:t>acy in Public Cloud Computing” or other applicable standards and guidelines.]</w:t>
      </w:r>
    </w:p>
    <w:p w:rsidR="00A1472F" w:rsidRDefault="00A72F4D">
      <w:pPr>
        <w:numPr>
          <w:ilvl w:val="2"/>
          <w:numId w:val="3"/>
        </w:numPr>
        <w:tabs>
          <w:tab w:val="left" w:pos="990"/>
        </w:tabs>
        <w:spacing w:before="100" w:line="240" w:lineRule="auto"/>
        <w:ind w:left="990" w:hanging="540"/>
        <w:rPr>
          <w:i/>
        </w:rPr>
      </w:pPr>
      <w:r>
        <w:rPr>
          <w:i/>
        </w:rPr>
        <w:t>[Describe framework and approach to incorporating both federal and agency security requirements into migration planning recommendations.]</w:t>
      </w:r>
    </w:p>
    <w:p w:rsidR="00A1472F" w:rsidRDefault="00A72F4D">
      <w:pPr>
        <w:numPr>
          <w:ilvl w:val="2"/>
          <w:numId w:val="3"/>
        </w:numPr>
        <w:tabs>
          <w:tab w:val="left" w:pos="990"/>
        </w:tabs>
        <w:spacing w:before="100" w:line="240" w:lineRule="auto"/>
        <w:ind w:left="990" w:hanging="540"/>
        <w:rPr>
          <w:i/>
        </w:rPr>
      </w:pPr>
      <w:r>
        <w:rPr>
          <w:i/>
        </w:rPr>
        <w:t>[List any additional Security and Privac</w:t>
      </w:r>
      <w:r>
        <w:rPr>
          <w:i/>
        </w:rPr>
        <w:t xml:space="preserve">y standards to which the contractor should conform their services/solution.  For example:] </w:t>
      </w:r>
    </w:p>
    <w:p w:rsidR="00A1472F" w:rsidRDefault="00A72F4D">
      <w:pPr>
        <w:numPr>
          <w:ilvl w:val="3"/>
          <w:numId w:val="3"/>
        </w:numPr>
        <w:spacing w:before="100" w:after="0" w:line="240" w:lineRule="auto"/>
        <w:ind w:left="1440" w:hanging="360"/>
        <w:rPr>
          <w:i/>
        </w:rPr>
      </w:pPr>
      <w:r>
        <w:rPr>
          <w:i/>
        </w:rPr>
        <w:t>[Properly securing the connections between formerly collocated systems, including systems not migrated for business or other reasons.]</w:t>
      </w:r>
    </w:p>
    <w:p w:rsidR="00A1472F" w:rsidRDefault="00A72F4D">
      <w:pPr>
        <w:numPr>
          <w:ilvl w:val="3"/>
          <w:numId w:val="3"/>
        </w:numPr>
        <w:spacing w:before="100" w:after="0" w:line="240" w:lineRule="auto"/>
        <w:ind w:left="1440" w:hanging="360"/>
        <w:rPr>
          <w:i/>
        </w:rPr>
      </w:pPr>
      <w:r>
        <w:rPr>
          <w:i/>
        </w:rPr>
        <w:t>[Implementation of Trusted In</w:t>
      </w:r>
      <w:r>
        <w:rPr>
          <w:i/>
        </w:rPr>
        <w:t>ternet Connections and similar mandates.]</w:t>
      </w:r>
    </w:p>
    <w:p w:rsidR="00A1472F" w:rsidRDefault="00A1472F">
      <w:pPr>
        <w:tabs>
          <w:tab w:val="left" w:pos="990"/>
        </w:tabs>
        <w:spacing w:after="0" w:line="240" w:lineRule="auto"/>
        <w:ind w:left="1728"/>
        <w:rPr>
          <w:color w:val="FF0000"/>
        </w:rPr>
      </w:pPr>
    </w:p>
    <w:p w:rsidR="00A1472F" w:rsidRDefault="00A72F4D">
      <w:pPr>
        <w:pStyle w:val="Heading2"/>
        <w:numPr>
          <w:ilvl w:val="1"/>
          <w:numId w:val="3"/>
        </w:numPr>
        <w:spacing w:before="0"/>
        <w:ind w:left="540" w:hanging="522"/>
        <w:rPr>
          <w:rFonts w:ascii="Calibri" w:eastAsia="Calibri" w:hAnsi="Calibri" w:cs="Calibri"/>
        </w:rPr>
      </w:pPr>
      <w:bookmarkStart w:id="14" w:name="_lnxbz9" w:colFirst="0" w:colLast="0"/>
      <w:bookmarkEnd w:id="14"/>
      <w:r>
        <w:rPr>
          <w:rFonts w:ascii="Calibri" w:eastAsia="Calibri" w:hAnsi="Calibri" w:cs="Calibri"/>
        </w:rPr>
        <w:t>Management Objectives</w:t>
      </w:r>
    </w:p>
    <w:p w:rsidR="00A1472F" w:rsidRDefault="00A72F4D">
      <w:pPr>
        <w:numPr>
          <w:ilvl w:val="2"/>
          <w:numId w:val="3"/>
        </w:numPr>
        <w:tabs>
          <w:tab w:val="left" w:pos="990"/>
        </w:tabs>
        <w:spacing w:before="100" w:line="240" w:lineRule="auto"/>
        <w:ind w:left="990" w:hanging="540"/>
      </w:pPr>
      <w:r>
        <w:t>Allow the contractor maximum flexibility to innovatively manage program cost, schedule, performance, risks, warranties, contracts and subcontracts, vendors, and data required to deliver effec</w:t>
      </w:r>
      <w:r>
        <w:t xml:space="preserve">tive inventory services. </w:t>
      </w:r>
    </w:p>
    <w:p w:rsidR="00A1472F" w:rsidRDefault="00A72F4D">
      <w:pPr>
        <w:numPr>
          <w:ilvl w:val="2"/>
          <w:numId w:val="3"/>
        </w:numPr>
        <w:tabs>
          <w:tab w:val="left" w:pos="990"/>
        </w:tabs>
        <w:spacing w:before="100" w:line="240" w:lineRule="auto"/>
        <w:ind w:left="990" w:hanging="540"/>
      </w:pPr>
      <w:r>
        <w:t xml:space="preserve">Maintain clear government visibility into program cost, schedule, technical performance, and risk, including periodic reporting. </w:t>
      </w:r>
    </w:p>
    <w:p w:rsidR="00A1472F" w:rsidRDefault="00A72F4D">
      <w:pPr>
        <w:numPr>
          <w:ilvl w:val="2"/>
          <w:numId w:val="3"/>
        </w:numPr>
        <w:tabs>
          <w:tab w:val="left" w:pos="990"/>
        </w:tabs>
        <w:spacing w:before="100" w:line="240" w:lineRule="auto"/>
        <w:ind w:left="990" w:hanging="540"/>
      </w:pPr>
      <w:r>
        <w:t xml:space="preserve">Provide meaningful reporting and analytics that provide </w:t>
      </w:r>
      <w:r>
        <w:rPr>
          <w:i/>
        </w:rPr>
        <w:t xml:space="preserve">[Agency/Department] </w:t>
      </w:r>
      <w:r>
        <w:t>with up-to-date and comp</w:t>
      </w:r>
      <w:r>
        <w:t>rehensive information regarding technical and management performance.</w:t>
      </w:r>
    </w:p>
    <w:p w:rsidR="00A1472F" w:rsidRDefault="00A72F4D">
      <w:pPr>
        <w:pStyle w:val="Heading2"/>
        <w:numPr>
          <w:ilvl w:val="1"/>
          <w:numId w:val="3"/>
        </w:numPr>
        <w:ind w:left="540" w:hanging="522"/>
        <w:rPr>
          <w:rFonts w:ascii="Calibri" w:eastAsia="Calibri" w:hAnsi="Calibri" w:cs="Calibri"/>
        </w:rPr>
      </w:pPr>
      <w:bookmarkStart w:id="15" w:name="_35nkun2" w:colFirst="0" w:colLast="0"/>
      <w:bookmarkEnd w:id="15"/>
      <w:r>
        <w:rPr>
          <w:rFonts w:ascii="Calibri" w:eastAsia="Calibri" w:hAnsi="Calibri" w:cs="Calibri"/>
        </w:rPr>
        <w:t>Administrative Objectives</w:t>
      </w:r>
    </w:p>
    <w:p w:rsidR="00A1472F" w:rsidRDefault="00A72F4D">
      <w:pPr>
        <w:numPr>
          <w:ilvl w:val="2"/>
          <w:numId w:val="3"/>
        </w:numPr>
        <w:tabs>
          <w:tab w:val="left" w:pos="990"/>
        </w:tabs>
        <w:spacing w:before="100" w:line="240" w:lineRule="auto"/>
        <w:ind w:left="990" w:hanging="540"/>
      </w:pPr>
      <w:r>
        <w:t xml:space="preserve">Utilize relevant tools and analysis techniques for analyzing, evaluating and presenting information gathered throughout the </w:t>
      </w:r>
      <w:r>
        <w:rPr>
          <w:i/>
        </w:rPr>
        <w:t>[migration planning phases].</w:t>
      </w:r>
      <w:r>
        <w:t xml:space="preserve">  Descri</w:t>
      </w:r>
      <w:r>
        <w:t xml:space="preserve">be approach and examples of relevant tools and analysis techniques for </w:t>
      </w:r>
      <w:r>
        <w:rPr>
          <w:i/>
        </w:rPr>
        <w:t>[all relevant phases].</w:t>
      </w:r>
      <w:r>
        <w:t xml:space="preserve"> </w:t>
      </w:r>
    </w:p>
    <w:p w:rsidR="00A1472F" w:rsidRDefault="00A72F4D">
      <w:pPr>
        <w:numPr>
          <w:ilvl w:val="2"/>
          <w:numId w:val="3"/>
        </w:numPr>
        <w:tabs>
          <w:tab w:val="left" w:pos="990"/>
        </w:tabs>
        <w:spacing w:before="100" w:line="240" w:lineRule="auto"/>
        <w:ind w:left="990" w:hanging="540"/>
      </w:pPr>
      <w:r>
        <w:t xml:space="preserve">Provide </w:t>
      </w:r>
      <w:r>
        <w:rPr>
          <w:i/>
        </w:rPr>
        <w:t xml:space="preserve">[Agency/Department] </w:t>
      </w:r>
      <w:r>
        <w:t xml:space="preserve">decision making support in the form of relevant artifacts and work products. </w:t>
      </w:r>
    </w:p>
    <w:p w:rsidR="00A1472F" w:rsidRDefault="00A72F4D">
      <w:pPr>
        <w:numPr>
          <w:ilvl w:val="2"/>
          <w:numId w:val="3"/>
        </w:numPr>
        <w:tabs>
          <w:tab w:val="left" w:pos="990"/>
        </w:tabs>
        <w:spacing w:before="100" w:line="240" w:lineRule="auto"/>
        <w:ind w:left="990" w:hanging="540"/>
      </w:pPr>
      <w:r>
        <w:t>Describe in the proposal methods of compliance with req</w:t>
      </w:r>
      <w:r>
        <w:t>uirements for the business, management and security objectives, proposing service level agreements (SLAs), associated terms and conditions, and enforcement methodology.  At a minimum the SLA shall cover the following points:</w:t>
      </w:r>
    </w:p>
    <w:p w:rsidR="00A1472F" w:rsidRDefault="00A72F4D">
      <w:pPr>
        <w:numPr>
          <w:ilvl w:val="3"/>
          <w:numId w:val="3"/>
        </w:numPr>
        <w:spacing w:after="0" w:line="240" w:lineRule="auto"/>
        <w:ind w:left="1440" w:hanging="360"/>
      </w:pPr>
      <w:r>
        <w:lastRenderedPageBreak/>
        <w:t>Metrics for the services as measured as the [describe calculation of metric]; not to be less than that proposed within the acquisition vehicle (e.g., GSA’s IT70), and including definitions</w:t>
      </w:r>
    </w:p>
    <w:p w:rsidR="00A1472F" w:rsidRDefault="00A72F4D">
      <w:pPr>
        <w:numPr>
          <w:ilvl w:val="3"/>
          <w:numId w:val="3"/>
        </w:numPr>
        <w:spacing w:after="0" w:line="240" w:lineRule="auto"/>
        <w:ind w:left="1440" w:hanging="360"/>
      </w:pPr>
      <w:r>
        <w:t xml:space="preserve">Metric Time Objectives for tasks </w:t>
      </w:r>
    </w:p>
    <w:p w:rsidR="00A1472F" w:rsidRDefault="00A72F4D">
      <w:pPr>
        <w:numPr>
          <w:ilvl w:val="3"/>
          <w:numId w:val="3"/>
        </w:numPr>
        <w:spacing w:after="0" w:line="240" w:lineRule="auto"/>
        <w:ind w:left="1440" w:hanging="360"/>
      </w:pPr>
      <w:r>
        <w:t>Methodology for ensuring that the</w:t>
      </w:r>
      <w:r>
        <w:t xml:space="preserve"> Service Level Agreement is met.</w:t>
      </w:r>
    </w:p>
    <w:p w:rsidR="00A1472F" w:rsidRDefault="00A1472F">
      <w:pPr>
        <w:spacing w:after="0" w:line="240" w:lineRule="auto"/>
        <w:ind w:left="1440"/>
      </w:pPr>
    </w:p>
    <w:p w:rsidR="00A1472F" w:rsidRDefault="00A72F4D">
      <w:pPr>
        <w:pStyle w:val="Heading1"/>
        <w:numPr>
          <w:ilvl w:val="0"/>
          <w:numId w:val="3"/>
        </w:numPr>
        <w:rPr>
          <w:rFonts w:ascii="Calibri" w:eastAsia="Calibri" w:hAnsi="Calibri" w:cs="Calibri"/>
        </w:rPr>
      </w:pPr>
      <w:bookmarkStart w:id="16" w:name="_1ksv4uv" w:colFirst="0" w:colLast="0"/>
      <w:bookmarkEnd w:id="16"/>
      <w:r>
        <w:rPr>
          <w:rFonts w:ascii="Calibri" w:eastAsia="Calibri" w:hAnsi="Calibri" w:cs="Calibri"/>
        </w:rPr>
        <w:t xml:space="preserve">Constraints </w:t>
      </w:r>
    </w:p>
    <w:p w:rsidR="00A1472F" w:rsidRDefault="00A72F4D">
      <w:pPr>
        <w:spacing w:line="240" w:lineRule="auto"/>
        <w:rPr>
          <w:i/>
        </w:rPr>
      </w:pPr>
      <w:r>
        <w:rPr>
          <w:i/>
        </w:rPr>
        <w:t>[Provide any subsections normally used by the Department/Agency that are not covered by the GWAC or Schedule being used (named in Section 2), and as appropriate such as:]</w:t>
      </w:r>
    </w:p>
    <w:p w:rsidR="00A1472F" w:rsidRDefault="00A72F4D">
      <w:pPr>
        <w:pStyle w:val="Heading2"/>
        <w:numPr>
          <w:ilvl w:val="1"/>
          <w:numId w:val="3"/>
        </w:numPr>
        <w:spacing w:before="0"/>
        <w:ind w:left="540" w:hanging="522"/>
        <w:rPr>
          <w:rFonts w:ascii="Calibri" w:eastAsia="Calibri" w:hAnsi="Calibri" w:cs="Calibri"/>
          <w:i/>
        </w:rPr>
      </w:pPr>
      <w:r>
        <w:rPr>
          <w:rFonts w:ascii="Calibri" w:eastAsia="Calibri" w:hAnsi="Calibri" w:cs="Calibri"/>
          <w:i/>
        </w:rPr>
        <w:t>[Access Control]</w:t>
      </w:r>
    </w:p>
    <w:p w:rsidR="00A1472F" w:rsidRDefault="00A72F4D">
      <w:pPr>
        <w:pStyle w:val="Heading2"/>
        <w:numPr>
          <w:ilvl w:val="1"/>
          <w:numId w:val="3"/>
        </w:numPr>
        <w:spacing w:before="0"/>
        <w:ind w:left="540" w:hanging="522"/>
        <w:rPr>
          <w:rFonts w:ascii="Calibri" w:eastAsia="Calibri" w:hAnsi="Calibri" w:cs="Calibri"/>
          <w:i/>
        </w:rPr>
      </w:pPr>
      <w:r>
        <w:rPr>
          <w:rFonts w:ascii="Calibri" w:eastAsia="Calibri" w:hAnsi="Calibri" w:cs="Calibri"/>
          <w:i/>
        </w:rPr>
        <w:t>[Authentication]</w:t>
      </w:r>
    </w:p>
    <w:p w:rsidR="00A1472F" w:rsidRDefault="00A72F4D">
      <w:pPr>
        <w:pStyle w:val="Heading2"/>
        <w:numPr>
          <w:ilvl w:val="1"/>
          <w:numId w:val="3"/>
        </w:numPr>
        <w:spacing w:before="0"/>
        <w:ind w:left="540" w:hanging="522"/>
        <w:rPr>
          <w:rFonts w:ascii="Calibri" w:eastAsia="Calibri" w:hAnsi="Calibri" w:cs="Calibri"/>
          <w:i/>
        </w:rPr>
      </w:pPr>
      <w:r>
        <w:rPr>
          <w:rFonts w:ascii="Calibri" w:eastAsia="Calibri" w:hAnsi="Calibri" w:cs="Calibri"/>
          <w:i/>
        </w:rPr>
        <w:t>[Personnel Security Clearances]</w:t>
      </w:r>
    </w:p>
    <w:p w:rsidR="00A1472F" w:rsidRDefault="00A72F4D">
      <w:pPr>
        <w:pStyle w:val="Heading2"/>
        <w:numPr>
          <w:ilvl w:val="1"/>
          <w:numId w:val="3"/>
        </w:numPr>
        <w:spacing w:before="0"/>
        <w:ind w:left="540" w:hanging="522"/>
        <w:rPr>
          <w:rFonts w:ascii="Calibri" w:eastAsia="Calibri" w:hAnsi="Calibri" w:cs="Calibri"/>
          <w:i/>
        </w:rPr>
      </w:pPr>
      <w:r>
        <w:rPr>
          <w:rFonts w:ascii="Calibri" w:eastAsia="Calibri" w:hAnsi="Calibri" w:cs="Calibri"/>
          <w:i/>
        </w:rPr>
        <w:t>[Non-disclosure Agreements]</w:t>
      </w:r>
    </w:p>
    <w:p w:rsidR="00A1472F" w:rsidRDefault="00A72F4D">
      <w:pPr>
        <w:pStyle w:val="Heading2"/>
        <w:numPr>
          <w:ilvl w:val="1"/>
          <w:numId w:val="3"/>
        </w:numPr>
        <w:spacing w:before="0"/>
        <w:ind w:left="540" w:hanging="522"/>
        <w:rPr>
          <w:rFonts w:ascii="Calibri" w:eastAsia="Calibri" w:hAnsi="Calibri" w:cs="Calibri"/>
          <w:i/>
        </w:rPr>
      </w:pPr>
      <w:r>
        <w:rPr>
          <w:rFonts w:ascii="Calibri" w:eastAsia="Calibri" w:hAnsi="Calibri" w:cs="Calibri"/>
          <w:i/>
        </w:rPr>
        <w:t>[Accessibility]</w:t>
      </w:r>
    </w:p>
    <w:p w:rsidR="00A1472F" w:rsidRDefault="00A72F4D">
      <w:pPr>
        <w:pStyle w:val="Heading2"/>
        <w:numPr>
          <w:ilvl w:val="1"/>
          <w:numId w:val="3"/>
        </w:numPr>
        <w:spacing w:before="0"/>
        <w:ind w:left="540" w:hanging="522"/>
        <w:rPr>
          <w:rFonts w:ascii="Calibri" w:eastAsia="Calibri" w:hAnsi="Calibri" w:cs="Calibri"/>
          <w:i/>
        </w:rPr>
      </w:pPr>
      <w:r>
        <w:rPr>
          <w:rFonts w:ascii="Calibri" w:eastAsia="Calibri" w:hAnsi="Calibri" w:cs="Calibri"/>
          <w:i/>
        </w:rPr>
        <w:t>[Sensitive and Embargoed Data, etc.]</w:t>
      </w:r>
    </w:p>
    <w:p w:rsidR="00A1472F" w:rsidRDefault="00A72F4D">
      <w:pPr>
        <w:pStyle w:val="Heading1"/>
        <w:numPr>
          <w:ilvl w:val="0"/>
          <w:numId w:val="3"/>
        </w:numPr>
        <w:rPr>
          <w:rFonts w:ascii="Calibri" w:eastAsia="Calibri" w:hAnsi="Calibri" w:cs="Calibri"/>
        </w:rPr>
      </w:pPr>
      <w:bookmarkStart w:id="17" w:name="_44sinio" w:colFirst="0" w:colLast="0"/>
      <w:bookmarkEnd w:id="17"/>
      <w:r>
        <w:rPr>
          <w:rFonts w:ascii="Calibri" w:eastAsia="Calibri" w:hAnsi="Calibri" w:cs="Calibri"/>
        </w:rPr>
        <w:t>Requirements Cross-Reference</w:t>
      </w:r>
    </w:p>
    <w:p w:rsidR="00A1472F" w:rsidRDefault="00A72F4D">
      <w:pPr>
        <w:spacing w:line="240" w:lineRule="auto"/>
        <w:rPr>
          <w:i/>
        </w:rPr>
      </w:pPr>
      <w:r>
        <w:t xml:space="preserve">The requirements in this Scope of Objectives can be cross-referenced with the requirements in the </w:t>
      </w:r>
      <w:r>
        <w:rPr>
          <w:i/>
        </w:rPr>
        <w:t>[Acquisition Veh</w:t>
      </w:r>
      <w:r>
        <w:rPr>
          <w:i/>
        </w:rPr>
        <w:t xml:space="preserve">icle - see note in Section 2 regarding GWACs or Schedules].  [If necessary, use the table below to map the SOO objectives to additional requirements that appear in the Acquisition Vehicle]. </w:t>
      </w:r>
    </w:p>
    <w:p w:rsidR="00A1472F" w:rsidRDefault="00A72F4D">
      <w:pPr>
        <w:keepNext/>
        <w:pBdr>
          <w:top w:val="nil"/>
          <w:left w:val="nil"/>
          <w:bottom w:val="nil"/>
          <w:right w:val="nil"/>
          <w:between w:val="nil"/>
        </w:pBdr>
        <w:spacing w:line="240" w:lineRule="auto"/>
        <w:rPr>
          <w:b/>
          <w:color w:val="4F81BD"/>
          <w:sz w:val="18"/>
          <w:szCs w:val="18"/>
        </w:rPr>
      </w:pPr>
      <w:r>
        <w:rPr>
          <w:b/>
          <w:color w:val="4F81BD"/>
          <w:sz w:val="18"/>
          <w:szCs w:val="18"/>
        </w:rPr>
        <w:t xml:space="preserve">Table 1: SOO to </w:t>
      </w:r>
      <w:r>
        <w:rPr>
          <w:b/>
          <w:i/>
          <w:color w:val="4F81BD"/>
          <w:sz w:val="18"/>
          <w:szCs w:val="18"/>
        </w:rPr>
        <w:t>[Acquisition Vehicle]</w:t>
      </w:r>
      <w:r>
        <w:rPr>
          <w:b/>
          <w:color w:val="4F81BD"/>
          <w:sz w:val="18"/>
          <w:szCs w:val="18"/>
        </w:rPr>
        <w:t xml:space="preserve"> Cross-reference</w:t>
      </w:r>
    </w:p>
    <w:tbl>
      <w:tblPr>
        <w:tblStyle w:val="a"/>
        <w:tblW w:w="8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38"/>
        <w:gridCol w:w="5130"/>
      </w:tblGrid>
      <w:tr w:rsidR="00A1472F">
        <w:tc>
          <w:tcPr>
            <w:tcW w:w="3438" w:type="dxa"/>
            <w:shd w:val="clear" w:color="auto" w:fill="336699"/>
          </w:tcPr>
          <w:p w:rsidR="00A1472F" w:rsidRDefault="00A72F4D">
            <w:pPr>
              <w:spacing w:after="0" w:line="240" w:lineRule="auto"/>
              <w:rPr>
                <w:color w:val="FFFFFF"/>
              </w:rPr>
            </w:pPr>
            <w:r>
              <w:rPr>
                <w:color w:val="FFFFFF"/>
              </w:rPr>
              <w:t xml:space="preserve">SOO Requirement Reference </w:t>
            </w:r>
          </w:p>
        </w:tc>
        <w:tc>
          <w:tcPr>
            <w:tcW w:w="5130" w:type="dxa"/>
            <w:shd w:val="clear" w:color="auto" w:fill="336699"/>
          </w:tcPr>
          <w:p w:rsidR="00A1472F" w:rsidRDefault="00A72F4D">
            <w:pPr>
              <w:spacing w:after="0" w:line="240" w:lineRule="auto"/>
              <w:rPr>
                <w:color w:val="FFFFFF"/>
              </w:rPr>
            </w:pPr>
            <w:r>
              <w:rPr>
                <w:color w:val="FFFFFF"/>
              </w:rPr>
              <w:t xml:space="preserve">Acquisition Vehicle Requirement Cross-reference </w:t>
            </w:r>
          </w:p>
        </w:tc>
      </w:tr>
      <w:tr w:rsidR="00A1472F">
        <w:tc>
          <w:tcPr>
            <w:tcW w:w="3438" w:type="dxa"/>
          </w:tcPr>
          <w:p w:rsidR="00A1472F" w:rsidRDefault="00A1472F">
            <w:pPr>
              <w:spacing w:after="0" w:line="240" w:lineRule="auto"/>
            </w:pPr>
          </w:p>
        </w:tc>
        <w:tc>
          <w:tcPr>
            <w:tcW w:w="5130" w:type="dxa"/>
          </w:tcPr>
          <w:p w:rsidR="00A1472F" w:rsidRDefault="00A1472F">
            <w:pPr>
              <w:spacing w:after="0" w:line="240" w:lineRule="auto"/>
            </w:pPr>
          </w:p>
        </w:tc>
      </w:tr>
      <w:tr w:rsidR="00A1472F">
        <w:tc>
          <w:tcPr>
            <w:tcW w:w="3438" w:type="dxa"/>
          </w:tcPr>
          <w:p w:rsidR="00A1472F" w:rsidRDefault="00A1472F">
            <w:pPr>
              <w:spacing w:after="0" w:line="240" w:lineRule="auto"/>
            </w:pPr>
          </w:p>
        </w:tc>
        <w:tc>
          <w:tcPr>
            <w:tcW w:w="5130" w:type="dxa"/>
          </w:tcPr>
          <w:p w:rsidR="00A1472F" w:rsidRDefault="00A1472F">
            <w:pPr>
              <w:spacing w:after="0" w:line="240" w:lineRule="auto"/>
            </w:pPr>
          </w:p>
        </w:tc>
      </w:tr>
      <w:tr w:rsidR="00A1472F">
        <w:tc>
          <w:tcPr>
            <w:tcW w:w="3438" w:type="dxa"/>
          </w:tcPr>
          <w:p w:rsidR="00A1472F" w:rsidRDefault="00A1472F">
            <w:pPr>
              <w:spacing w:after="0" w:line="240" w:lineRule="auto"/>
            </w:pPr>
          </w:p>
        </w:tc>
        <w:tc>
          <w:tcPr>
            <w:tcW w:w="5130" w:type="dxa"/>
          </w:tcPr>
          <w:p w:rsidR="00A1472F" w:rsidRDefault="00A1472F">
            <w:pPr>
              <w:spacing w:after="0" w:line="240" w:lineRule="auto"/>
            </w:pPr>
          </w:p>
        </w:tc>
      </w:tr>
      <w:tr w:rsidR="00A1472F">
        <w:tc>
          <w:tcPr>
            <w:tcW w:w="3438" w:type="dxa"/>
          </w:tcPr>
          <w:p w:rsidR="00A1472F" w:rsidRDefault="00A1472F">
            <w:pPr>
              <w:tabs>
                <w:tab w:val="left" w:pos="1176"/>
              </w:tabs>
              <w:spacing w:after="0" w:line="240" w:lineRule="auto"/>
            </w:pPr>
          </w:p>
        </w:tc>
        <w:tc>
          <w:tcPr>
            <w:tcW w:w="5130" w:type="dxa"/>
          </w:tcPr>
          <w:p w:rsidR="00A1472F" w:rsidRDefault="00A1472F">
            <w:pPr>
              <w:spacing w:after="0" w:line="240" w:lineRule="auto"/>
            </w:pPr>
          </w:p>
        </w:tc>
      </w:tr>
      <w:tr w:rsidR="00A1472F">
        <w:tc>
          <w:tcPr>
            <w:tcW w:w="3438" w:type="dxa"/>
          </w:tcPr>
          <w:p w:rsidR="00A1472F" w:rsidRDefault="00A1472F">
            <w:pPr>
              <w:tabs>
                <w:tab w:val="left" w:pos="1176"/>
              </w:tabs>
              <w:spacing w:after="0" w:line="240" w:lineRule="auto"/>
            </w:pPr>
          </w:p>
        </w:tc>
        <w:tc>
          <w:tcPr>
            <w:tcW w:w="5130" w:type="dxa"/>
          </w:tcPr>
          <w:p w:rsidR="00A1472F" w:rsidRDefault="00A1472F">
            <w:pPr>
              <w:spacing w:after="0" w:line="240" w:lineRule="auto"/>
            </w:pPr>
          </w:p>
        </w:tc>
      </w:tr>
      <w:tr w:rsidR="00A1472F">
        <w:tc>
          <w:tcPr>
            <w:tcW w:w="3438" w:type="dxa"/>
          </w:tcPr>
          <w:p w:rsidR="00A1472F" w:rsidRDefault="00A1472F">
            <w:pPr>
              <w:tabs>
                <w:tab w:val="left" w:pos="1176"/>
              </w:tabs>
              <w:spacing w:after="0" w:line="240" w:lineRule="auto"/>
            </w:pPr>
          </w:p>
        </w:tc>
        <w:tc>
          <w:tcPr>
            <w:tcW w:w="5130" w:type="dxa"/>
          </w:tcPr>
          <w:p w:rsidR="00A1472F" w:rsidRDefault="00A1472F">
            <w:pPr>
              <w:spacing w:after="0" w:line="240" w:lineRule="auto"/>
            </w:pPr>
          </w:p>
        </w:tc>
      </w:tr>
      <w:tr w:rsidR="00A1472F">
        <w:tc>
          <w:tcPr>
            <w:tcW w:w="3438" w:type="dxa"/>
          </w:tcPr>
          <w:p w:rsidR="00A1472F" w:rsidRDefault="00A1472F">
            <w:pPr>
              <w:tabs>
                <w:tab w:val="left" w:pos="1176"/>
              </w:tabs>
              <w:spacing w:after="0" w:line="240" w:lineRule="auto"/>
            </w:pPr>
          </w:p>
        </w:tc>
        <w:tc>
          <w:tcPr>
            <w:tcW w:w="5130" w:type="dxa"/>
          </w:tcPr>
          <w:p w:rsidR="00A1472F" w:rsidRDefault="00A1472F">
            <w:pPr>
              <w:spacing w:after="0" w:line="240" w:lineRule="auto"/>
            </w:pPr>
          </w:p>
        </w:tc>
      </w:tr>
      <w:tr w:rsidR="00A1472F">
        <w:tc>
          <w:tcPr>
            <w:tcW w:w="3438" w:type="dxa"/>
          </w:tcPr>
          <w:p w:rsidR="00A1472F" w:rsidRDefault="00A1472F">
            <w:pPr>
              <w:tabs>
                <w:tab w:val="left" w:pos="1176"/>
              </w:tabs>
              <w:spacing w:after="0" w:line="240" w:lineRule="auto"/>
            </w:pPr>
          </w:p>
        </w:tc>
        <w:tc>
          <w:tcPr>
            <w:tcW w:w="5130" w:type="dxa"/>
          </w:tcPr>
          <w:p w:rsidR="00A1472F" w:rsidRDefault="00A1472F">
            <w:pPr>
              <w:spacing w:after="0" w:line="240" w:lineRule="auto"/>
            </w:pPr>
          </w:p>
        </w:tc>
      </w:tr>
      <w:tr w:rsidR="00A1472F">
        <w:tc>
          <w:tcPr>
            <w:tcW w:w="3438" w:type="dxa"/>
          </w:tcPr>
          <w:p w:rsidR="00A1472F" w:rsidRDefault="00A1472F">
            <w:pPr>
              <w:tabs>
                <w:tab w:val="left" w:pos="1176"/>
              </w:tabs>
              <w:spacing w:after="0" w:line="240" w:lineRule="auto"/>
            </w:pPr>
          </w:p>
        </w:tc>
        <w:tc>
          <w:tcPr>
            <w:tcW w:w="5130" w:type="dxa"/>
          </w:tcPr>
          <w:p w:rsidR="00A1472F" w:rsidRDefault="00A1472F">
            <w:pPr>
              <w:spacing w:after="0" w:line="240" w:lineRule="auto"/>
            </w:pPr>
          </w:p>
        </w:tc>
      </w:tr>
      <w:tr w:rsidR="00A1472F">
        <w:tc>
          <w:tcPr>
            <w:tcW w:w="3438" w:type="dxa"/>
          </w:tcPr>
          <w:p w:rsidR="00A1472F" w:rsidRDefault="00A1472F">
            <w:pPr>
              <w:tabs>
                <w:tab w:val="left" w:pos="1176"/>
              </w:tabs>
              <w:spacing w:after="0" w:line="240" w:lineRule="auto"/>
            </w:pPr>
          </w:p>
        </w:tc>
        <w:tc>
          <w:tcPr>
            <w:tcW w:w="5130" w:type="dxa"/>
          </w:tcPr>
          <w:p w:rsidR="00A1472F" w:rsidRDefault="00A1472F">
            <w:pPr>
              <w:spacing w:after="0" w:line="240" w:lineRule="auto"/>
            </w:pPr>
          </w:p>
        </w:tc>
      </w:tr>
      <w:tr w:rsidR="00A1472F">
        <w:tc>
          <w:tcPr>
            <w:tcW w:w="3438" w:type="dxa"/>
          </w:tcPr>
          <w:p w:rsidR="00A1472F" w:rsidRDefault="00A1472F">
            <w:pPr>
              <w:tabs>
                <w:tab w:val="left" w:pos="1176"/>
              </w:tabs>
              <w:spacing w:after="0" w:line="240" w:lineRule="auto"/>
            </w:pPr>
          </w:p>
        </w:tc>
        <w:tc>
          <w:tcPr>
            <w:tcW w:w="5130" w:type="dxa"/>
          </w:tcPr>
          <w:p w:rsidR="00A1472F" w:rsidRDefault="00A1472F">
            <w:pPr>
              <w:spacing w:after="0" w:line="240" w:lineRule="auto"/>
            </w:pPr>
          </w:p>
        </w:tc>
      </w:tr>
    </w:tbl>
    <w:p w:rsidR="00A1472F" w:rsidRDefault="00A72F4D">
      <w:pPr>
        <w:rPr>
          <w:color w:val="FF0000"/>
        </w:rPr>
      </w:pPr>
      <w:r>
        <w:br/>
      </w:r>
    </w:p>
    <w:sectPr w:rsidR="00A1472F">
      <w:headerReference w:type="default" r:id="rId8"/>
      <w:footerReference w:type="default" r:id="rId9"/>
      <w:pgSz w:w="12240" w:h="15840"/>
      <w:pgMar w:top="1440" w:right="1440" w:bottom="1170" w:left="1440" w:header="446"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F4D" w:rsidRDefault="00A72F4D">
      <w:pPr>
        <w:spacing w:after="0" w:line="240" w:lineRule="auto"/>
      </w:pPr>
      <w:r>
        <w:separator/>
      </w:r>
    </w:p>
  </w:endnote>
  <w:endnote w:type="continuationSeparator" w:id="0">
    <w:p w:rsidR="00A72F4D" w:rsidRDefault="00A72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72F" w:rsidRDefault="00A72F4D">
    <w:pPr>
      <w:pBdr>
        <w:top w:val="nil"/>
        <w:left w:val="nil"/>
        <w:bottom w:val="nil"/>
        <w:right w:val="nil"/>
        <w:between w:val="nil"/>
      </w:pBdr>
      <w:tabs>
        <w:tab w:val="center" w:pos="4680"/>
        <w:tab w:val="right" w:pos="9360"/>
      </w:tabs>
      <w:spacing w:after="0" w:line="240" w:lineRule="auto"/>
      <w:jc w:val="center"/>
      <w:rPr>
        <w:color w:val="000000"/>
        <w:sz w:val="21"/>
        <w:szCs w:val="21"/>
      </w:rPr>
    </w:pPr>
    <w:r>
      <w:rPr>
        <w:color w:val="000000"/>
        <w:sz w:val="21"/>
        <w:szCs w:val="21"/>
      </w:rPr>
      <w:fldChar w:fldCharType="begin"/>
    </w:r>
    <w:r>
      <w:rPr>
        <w:color w:val="000000"/>
        <w:sz w:val="21"/>
        <w:szCs w:val="21"/>
      </w:rPr>
      <w:instrText>PAGE</w:instrText>
    </w:r>
    <w:r w:rsidR="009D7645">
      <w:rPr>
        <w:color w:val="000000"/>
        <w:sz w:val="21"/>
        <w:szCs w:val="21"/>
      </w:rPr>
      <w:fldChar w:fldCharType="separate"/>
    </w:r>
    <w:r w:rsidR="009D7645">
      <w:rPr>
        <w:noProof/>
        <w:color w:val="000000"/>
        <w:sz w:val="21"/>
        <w:szCs w:val="21"/>
      </w:rPr>
      <w:t>1</w:t>
    </w:r>
    <w:r>
      <w:rPr>
        <w:color w:val="000000"/>
        <w:sz w:val="21"/>
        <w:szCs w:val="21"/>
      </w:rPr>
      <w:fldChar w:fldCharType="end"/>
    </w:r>
  </w:p>
  <w:p w:rsidR="00A1472F" w:rsidRDefault="00A1472F">
    <w:pPr>
      <w:pBdr>
        <w:top w:val="nil"/>
        <w:left w:val="nil"/>
        <w:bottom w:val="nil"/>
        <w:right w:val="nil"/>
        <w:between w:val="nil"/>
      </w:pBdr>
      <w:tabs>
        <w:tab w:val="center" w:pos="4680"/>
        <w:tab w:val="right" w:pos="9360"/>
      </w:tabs>
      <w:spacing w:after="0" w:line="240" w:lineRule="auto"/>
      <w:rPr>
        <w:rFonts w:ascii="Arial" w:eastAsia="Arial" w:hAnsi="Arial" w:cs="Arial"/>
        <w:color w:val="3C4043"/>
        <w:sz w:val="16"/>
        <w:szCs w:val="16"/>
        <w:highlight w:val="white"/>
      </w:rPr>
    </w:pPr>
  </w:p>
  <w:p w:rsidR="00A1472F" w:rsidRDefault="00A72F4D">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6"/>
        <w:szCs w:val="16"/>
      </w:rPr>
    </w:pPr>
    <w:r>
      <w:rPr>
        <w:rFonts w:ascii="Arial" w:eastAsia="Arial" w:hAnsi="Arial" w:cs="Arial"/>
        <w:color w:val="3C4043"/>
        <w:sz w:val="16"/>
        <w:szCs w:val="16"/>
        <w:highlight w:val="white"/>
      </w:rPr>
      <w:t xml:space="preserve">For further assistance with this template, please contact the GSA Cloud Acquisition Team at </w:t>
    </w:r>
    <w:hyperlink r:id="rId1">
      <w:r>
        <w:rPr>
          <w:rFonts w:ascii="Arial" w:eastAsia="Arial" w:hAnsi="Arial" w:cs="Arial"/>
          <w:color w:val="1155CC"/>
          <w:sz w:val="16"/>
          <w:szCs w:val="16"/>
          <w:highlight w:val="white"/>
          <w:u w:val="single"/>
        </w:rPr>
        <w:t>cloudinfo@gsa.gov</w:t>
      </w:r>
    </w:hyperlink>
    <w:r>
      <w:rPr>
        <w:rFonts w:ascii="Arial" w:eastAsia="Arial" w:hAnsi="Arial" w:cs="Arial"/>
        <w:color w:val="3C4043"/>
        <w:sz w:val="16"/>
        <w:szCs w:val="16"/>
        <w:highlight w:val="white"/>
      </w:rPr>
      <w:t xml:space="preserve"> or 202-969-7113.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F4D" w:rsidRDefault="00A72F4D">
      <w:pPr>
        <w:spacing w:after="0" w:line="240" w:lineRule="auto"/>
      </w:pPr>
      <w:r>
        <w:separator/>
      </w:r>
    </w:p>
  </w:footnote>
  <w:footnote w:type="continuationSeparator" w:id="0">
    <w:p w:rsidR="00A72F4D" w:rsidRDefault="00A72F4D">
      <w:pPr>
        <w:spacing w:after="0" w:line="240" w:lineRule="auto"/>
      </w:pPr>
      <w:r>
        <w:continuationSeparator/>
      </w:r>
    </w:p>
  </w:footnote>
  <w:footnote w:id="1">
    <w:p w:rsidR="00A1472F" w:rsidRDefault="00A72F4D">
      <w:pPr>
        <w:pBdr>
          <w:top w:val="nil"/>
          <w:left w:val="nil"/>
          <w:bottom w:val="nil"/>
          <w:right w:val="nil"/>
          <w:between w:val="nil"/>
        </w:pBdr>
        <w:spacing w:after="0" w:line="240" w:lineRule="auto"/>
        <w:rPr>
          <w:color w:val="000000"/>
          <w:sz w:val="20"/>
          <w:szCs w:val="20"/>
        </w:rPr>
      </w:pPr>
      <w:r>
        <w:rPr>
          <w:vertAlign w:val="superscript"/>
        </w:rPr>
        <w:footnoteRef/>
      </w:r>
      <w:hyperlink r:id="rId1">
        <w:r>
          <w:rPr>
            <w:color w:val="1155CC"/>
            <w:sz w:val="20"/>
            <w:szCs w:val="20"/>
            <w:u w:val="single"/>
          </w:rPr>
          <w:t>https://cloud.cio.gov/strategy/</w:t>
        </w:r>
      </w:hyperlink>
    </w:p>
  </w:footnote>
  <w:footnote w:id="2">
    <w:p w:rsidR="00A1472F" w:rsidRDefault="00A72F4D">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Worldwide pricing is only applicable if the work location is not based at the customer’s site</w:t>
      </w:r>
    </w:p>
  </w:footnote>
  <w:footnote w:id="3">
    <w:p w:rsidR="00A1472F" w:rsidRDefault="00A72F4D">
      <w:pPr>
        <w:spacing w:after="0" w:line="240" w:lineRule="auto"/>
        <w:rPr>
          <w:sz w:val="20"/>
          <w:szCs w:val="20"/>
        </w:rPr>
      </w:pPr>
      <w:r>
        <w:rPr>
          <w:vertAlign w:val="superscript"/>
        </w:rPr>
        <w:footnoteRef/>
      </w:r>
      <w:r>
        <w:rPr>
          <w:sz w:val="20"/>
          <w:szCs w:val="20"/>
        </w:rPr>
        <w:t xml:space="preserve"> </w:t>
      </w:r>
      <w:hyperlink r:id="rId2">
        <w:r>
          <w:rPr>
            <w:color w:val="1155CC"/>
            <w:sz w:val="20"/>
            <w:szCs w:val="20"/>
            <w:u w:val="single"/>
          </w:rPr>
          <w:t>https://www.whitehouse.gov/briefings-statements/omb-announces-cloud-smart-proposal/</w:t>
        </w:r>
      </w:hyperlink>
    </w:p>
    <w:p w:rsidR="00A1472F" w:rsidRDefault="00A1472F">
      <w:pPr>
        <w:spacing w:after="0" w:line="240" w:lineRule="auto"/>
        <w:rPr>
          <w:sz w:val="20"/>
          <w:szCs w:val="20"/>
        </w:rPr>
      </w:pPr>
    </w:p>
  </w:footnote>
  <w:footnote w:id="4">
    <w:p w:rsidR="00A1472F" w:rsidRDefault="00A72F4D">
      <w:pPr>
        <w:pBdr>
          <w:top w:val="nil"/>
          <w:left w:val="nil"/>
          <w:bottom w:val="nil"/>
          <w:right w:val="nil"/>
          <w:between w:val="nil"/>
        </w:pBdr>
        <w:spacing w:after="0" w:line="240" w:lineRule="auto"/>
        <w:rPr>
          <w:sz w:val="20"/>
          <w:szCs w:val="20"/>
        </w:rPr>
      </w:pPr>
      <w:r>
        <w:rPr>
          <w:vertAlign w:val="superscript"/>
        </w:rPr>
        <w:footnoteRef/>
      </w:r>
      <w:r>
        <w:rPr>
          <w:color w:val="000000"/>
          <w:sz w:val="20"/>
          <w:szCs w:val="20"/>
        </w:rPr>
        <w:t xml:space="preserve"> </w:t>
      </w:r>
      <w:r>
        <w:rPr>
          <w:color w:val="000000"/>
          <w:sz w:val="18"/>
          <w:szCs w:val="18"/>
        </w:rPr>
        <w:t xml:space="preserve">For example, Federal Enterprise Architecture Framework </w:t>
      </w:r>
      <w:hyperlink r:id="rId3">
        <w:r>
          <w:rPr>
            <w:color w:val="0000FF"/>
            <w:sz w:val="18"/>
            <w:szCs w:val="18"/>
            <w:u w:val="single"/>
          </w:rPr>
          <w:t>http://www.cio.gov/documents/fedarch1.pdf</w:t>
        </w:r>
      </w:hyperlink>
    </w:p>
    <w:p w:rsidR="00A1472F" w:rsidRDefault="00A1472F">
      <w:pPr>
        <w:pBdr>
          <w:top w:val="nil"/>
          <w:left w:val="nil"/>
          <w:bottom w:val="nil"/>
          <w:right w:val="nil"/>
          <w:between w:val="nil"/>
        </w:pBdr>
        <w:spacing w:after="0" w:line="240" w:lineRule="auto"/>
        <w:rPr>
          <w:sz w:val="20"/>
          <w:szCs w:val="20"/>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72F" w:rsidRDefault="00A72F4D">
    <w:pPr>
      <w:pBdr>
        <w:top w:val="nil"/>
        <w:left w:val="nil"/>
        <w:bottom w:val="nil"/>
        <w:right w:val="nil"/>
        <w:between w:val="nil"/>
      </w:pBdr>
      <w:tabs>
        <w:tab w:val="center" w:pos="4680"/>
        <w:tab w:val="right" w:pos="9360"/>
      </w:tabs>
      <w:spacing w:after="0" w:line="240" w:lineRule="auto"/>
      <w:jc w:val="center"/>
      <w:rPr>
        <w:color w:val="7F7F7F"/>
      </w:rPr>
    </w:pPr>
    <w:r>
      <w:rPr>
        <w:color w:val="7F7F7F"/>
      </w:rPr>
      <w:t>Cloud Migration Services Working Group</w:t>
    </w:r>
    <w:r>
      <w:rPr>
        <w:color w:val="7F7F7F"/>
      </w:rPr>
      <w:br/>
      <w:t xml:space="preserve">SOO Template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84D97"/>
    <w:multiLevelType w:val="multilevel"/>
    <w:tmpl w:val="BB264FB4"/>
    <w:lvl w:ilvl="0">
      <w:start w:val="1"/>
      <w:numFmt w:val="decimal"/>
      <w:lvlText w:val="%1."/>
      <w:lvlJc w:val="left"/>
      <w:pPr>
        <w:ind w:left="768" w:hanging="360"/>
      </w:pPr>
    </w:lvl>
    <w:lvl w:ilvl="1">
      <w:start w:val="1"/>
      <w:numFmt w:val="lowerLetter"/>
      <w:lvlText w:val="%2."/>
      <w:lvlJc w:val="left"/>
      <w:pPr>
        <w:ind w:left="1488" w:hanging="360"/>
      </w:pPr>
    </w:lvl>
    <w:lvl w:ilvl="2">
      <w:start w:val="1"/>
      <w:numFmt w:val="lowerRoman"/>
      <w:lvlText w:val="%3."/>
      <w:lvlJc w:val="right"/>
      <w:pPr>
        <w:ind w:left="2208" w:hanging="180"/>
      </w:pPr>
    </w:lvl>
    <w:lvl w:ilvl="3">
      <w:start w:val="1"/>
      <w:numFmt w:val="decimal"/>
      <w:lvlText w:val="%4."/>
      <w:lvlJc w:val="left"/>
      <w:pPr>
        <w:ind w:left="2928" w:hanging="360"/>
      </w:pPr>
    </w:lvl>
    <w:lvl w:ilvl="4">
      <w:start w:val="1"/>
      <w:numFmt w:val="lowerLetter"/>
      <w:lvlText w:val="%5."/>
      <w:lvlJc w:val="left"/>
      <w:pPr>
        <w:ind w:left="3648" w:hanging="360"/>
      </w:pPr>
    </w:lvl>
    <w:lvl w:ilvl="5">
      <w:start w:val="1"/>
      <w:numFmt w:val="lowerRoman"/>
      <w:lvlText w:val="%6."/>
      <w:lvlJc w:val="right"/>
      <w:pPr>
        <w:ind w:left="4368" w:hanging="180"/>
      </w:pPr>
    </w:lvl>
    <w:lvl w:ilvl="6">
      <w:start w:val="1"/>
      <w:numFmt w:val="decimal"/>
      <w:lvlText w:val="%7."/>
      <w:lvlJc w:val="left"/>
      <w:pPr>
        <w:ind w:left="5088" w:hanging="360"/>
      </w:pPr>
    </w:lvl>
    <w:lvl w:ilvl="7">
      <w:start w:val="1"/>
      <w:numFmt w:val="lowerLetter"/>
      <w:lvlText w:val="%8."/>
      <w:lvlJc w:val="left"/>
      <w:pPr>
        <w:ind w:left="5808" w:hanging="360"/>
      </w:pPr>
    </w:lvl>
    <w:lvl w:ilvl="8">
      <w:start w:val="1"/>
      <w:numFmt w:val="lowerRoman"/>
      <w:lvlText w:val="%9."/>
      <w:lvlJc w:val="right"/>
      <w:pPr>
        <w:ind w:left="6528" w:hanging="180"/>
      </w:pPr>
    </w:lvl>
  </w:abstractNum>
  <w:abstractNum w:abstractNumId="1">
    <w:nsid w:val="59DB78EB"/>
    <w:multiLevelType w:val="multilevel"/>
    <w:tmpl w:val="54F6E344"/>
    <w:lvl w:ilvl="0">
      <w:start w:val="1"/>
      <w:numFmt w:val="decimal"/>
      <w:lvlText w:val="%1."/>
      <w:lvlJc w:val="left"/>
      <w:pPr>
        <w:ind w:left="360" w:hanging="360"/>
      </w:pPr>
      <w:rPr>
        <w:color w:val="365F91"/>
      </w:rPr>
    </w:lvl>
    <w:lvl w:ilvl="1">
      <w:start w:val="1"/>
      <w:numFmt w:val="decimal"/>
      <w:lvlText w:val="%1.%2."/>
      <w:lvlJc w:val="left"/>
      <w:pPr>
        <w:ind w:left="792" w:hanging="432"/>
      </w:pPr>
    </w:lvl>
    <w:lvl w:ilvl="2">
      <w:start w:val="1"/>
      <w:numFmt w:val="decimal"/>
      <w:lvlText w:val="%1.%2.%3."/>
      <w:lvlJc w:val="left"/>
      <w:pPr>
        <w:ind w:left="8604" w:hanging="504"/>
      </w:pPr>
      <w:rPr>
        <w:b w:val="0"/>
        <w:color w:val="000000"/>
      </w:rPr>
    </w:lvl>
    <w:lvl w:ilvl="3">
      <w:start w:val="1"/>
      <w:numFmt w:val="bullet"/>
      <w:lvlText w:val="●"/>
      <w:lvlJc w:val="left"/>
      <w:pPr>
        <w:ind w:left="1728" w:hanging="647"/>
      </w:pPr>
      <w:rPr>
        <w:rFonts w:ascii="Noto Sans Symbols" w:eastAsia="Noto Sans Symbols" w:hAnsi="Noto Sans Symbols" w:cs="Noto Sans Symbols"/>
      </w:rPr>
    </w:lvl>
    <w:lvl w:ilvl="4">
      <w:start w:val="1"/>
      <w:numFmt w:val="bullet"/>
      <w:lvlText w:val="●"/>
      <w:lvlJc w:val="left"/>
      <w:pPr>
        <w:ind w:left="2232" w:hanging="792"/>
      </w:pPr>
      <w:rPr>
        <w:rFonts w:ascii="Noto Sans Symbols" w:eastAsia="Noto Sans Symbols" w:hAnsi="Noto Sans Symbols" w:cs="Noto Sans Symbols"/>
      </w:rPr>
    </w:lvl>
    <w:lvl w:ilvl="5">
      <w:start w:val="1"/>
      <w:numFmt w:val="decimal"/>
      <w:lvlText w:val="%1.%2.%3.●.●.%6."/>
      <w:lvlJc w:val="left"/>
      <w:pPr>
        <w:ind w:left="2736" w:hanging="935"/>
      </w:pPr>
    </w:lvl>
    <w:lvl w:ilvl="6">
      <w:start w:val="1"/>
      <w:numFmt w:val="decimal"/>
      <w:lvlText w:val="%1.%2.%3.●.●.%6.%7."/>
      <w:lvlJc w:val="left"/>
      <w:pPr>
        <w:ind w:left="3240" w:hanging="1080"/>
      </w:pPr>
    </w:lvl>
    <w:lvl w:ilvl="7">
      <w:start w:val="1"/>
      <w:numFmt w:val="decimal"/>
      <w:lvlText w:val="%1.%2.%3.●.●.%6.%7.%8."/>
      <w:lvlJc w:val="left"/>
      <w:pPr>
        <w:ind w:left="3744" w:hanging="1224"/>
      </w:pPr>
    </w:lvl>
    <w:lvl w:ilvl="8">
      <w:start w:val="1"/>
      <w:numFmt w:val="decimal"/>
      <w:lvlText w:val="%1.%2.%3.●.●.%6.%7.%8.%9."/>
      <w:lvlJc w:val="left"/>
      <w:pPr>
        <w:ind w:left="4320" w:hanging="1440"/>
      </w:pPr>
    </w:lvl>
  </w:abstractNum>
  <w:abstractNum w:abstractNumId="2">
    <w:nsid w:val="686712AC"/>
    <w:multiLevelType w:val="multilevel"/>
    <w:tmpl w:val="09844E1A"/>
    <w:lvl w:ilvl="0">
      <w:start w:val="1"/>
      <w:numFmt w:val="bullet"/>
      <w:lvlText w:val="●"/>
      <w:lvlJc w:val="left"/>
      <w:pPr>
        <w:ind w:left="773" w:hanging="360"/>
      </w:pPr>
      <w:rPr>
        <w:rFonts w:ascii="Noto Sans Symbols" w:eastAsia="Noto Sans Symbols" w:hAnsi="Noto Sans Symbols" w:cs="Noto Sans Symbols"/>
      </w:rPr>
    </w:lvl>
    <w:lvl w:ilvl="1">
      <w:start w:val="1"/>
      <w:numFmt w:val="bullet"/>
      <w:lvlText w:val="o"/>
      <w:lvlJc w:val="left"/>
      <w:pPr>
        <w:ind w:left="1493" w:hanging="360"/>
      </w:pPr>
      <w:rPr>
        <w:rFonts w:ascii="Courier New" w:eastAsia="Courier New" w:hAnsi="Courier New" w:cs="Courier New"/>
      </w:rPr>
    </w:lvl>
    <w:lvl w:ilvl="2">
      <w:start w:val="1"/>
      <w:numFmt w:val="bullet"/>
      <w:lvlText w:val="▪"/>
      <w:lvlJc w:val="left"/>
      <w:pPr>
        <w:ind w:left="2213" w:hanging="360"/>
      </w:pPr>
      <w:rPr>
        <w:rFonts w:ascii="Noto Sans Symbols" w:eastAsia="Noto Sans Symbols" w:hAnsi="Noto Sans Symbols" w:cs="Noto Sans Symbols"/>
      </w:rPr>
    </w:lvl>
    <w:lvl w:ilvl="3">
      <w:start w:val="1"/>
      <w:numFmt w:val="bullet"/>
      <w:lvlText w:val="●"/>
      <w:lvlJc w:val="left"/>
      <w:pPr>
        <w:ind w:left="2933" w:hanging="360"/>
      </w:pPr>
      <w:rPr>
        <w:rFonts w:ascii="Noto Sans Symbols" w:eastAsia="Noto Sans Symbols" w:hAnsi="Noto Sans Symbols" w:cs="Noto Sans Symbols"/>
      </w:rPr>
    </w:lvl>
    <w:lvl w:ilvl="4">
      <w:start w:val="1"/>
      <w:numFmt w:val="bullet"/>
      <w:lvlText w:val="o"/>
      <w:lvlJc w:val="left"/>
      <w:pPr>
        <w:ind w:left="3653" w:hanging="360"/>
      </w:pPr>
      <w:rPr>
        <w:rFonts w:ascii="Courier New" w:eastAsia="Courier New" w:hAnsi="Courier New" w:cs="Courier New"/>
      </w:rPr>
    </w:lvl>
    <w:lvl w:ilvl="5">
      <w:start w:val="1"/>
      <w:numFmt w:val="bullet"/>
      <w:lvlText w:val="▪"/>
      <w:lvlJc w:val="left"/>
      <w:pPr>
        <w:ind w:left="4373" w:hanging="360"/>
      </w:pPr>
      <w:rPr>
        <w:rFonts w:ascii="Noto Sans Symbols" w:eastAsia="Noto Sans Symbols" w:hAnsi="Noto Sans Symbols" w:cs="Noto Sans Symbols"/>
      </w:rPr>
    </w:lvl>
    <w:lvl w:ilvl="6">
      <w:start w:val="1"/>
      <w:numFmt w:val="bullet"/>
      <w:lvlText w:val="●"/>
      <w:lvlJc w:val="left"/>
      <w:pPr>
        <w:ind w:left="5093" w:hanging="360"/>
      </w:pPr>
      <w:rPr>
        <w:rFonts w:ascii="Noto Sans Symbols" w:eastAsia="Noto Sans Symbols" w:hAnsi="Noto Sans Symbols" w:cs="Noto Sans Symbols"/>
      </w:rPr>
    </w:lvl>
    <w:lvl w:ilvl="7">
      <w:start w:val="1"/>
      <w:numFmt w:val="bullet"/>
      <w:lvlText w:val="o"/>
      <w:lvlJc w:val="left"/>
      <w:pPr>
        <w:ind w:left="5813" w:hanging="360"/>
      </w:pPr>
      <w:rPr>
        <w:rFonts w:ascii="Courier New" w:eastAsia="Courier New" w:hAnsi="Courier New" w:cs="Courier New"/>
      </w:rPr>
    </w:lvl>
    <w:lvl w:ilvl="8">
      <w:start w:val="1"/>
      <w:numFmt w:val="bullet"/>
      <w:lvlText w:val="▪"/>
      <w:lvlJc w:val="left"/>
      <w:pPr>
        <w:ind w:left="6533" w:hanging="360"/>
      </w:pPr>
      <w:rPr>
        <w:rFonts w:ascii="Noto Sans Symbols" w:eastAsia="Noto Sans Symbols" w:hAnsi="Noto Sans Symbols" w:cs="Noto Sans Symbols"/>
      </w:rPr>
    </w:lvl>
  </w:abstractNum>
  <w:abstractNum w:abstractNumId="3">
    <w:nsid w:val="6BC646D1"/>
    <w:multiLevelType w:val="multilevel"/>
    <w:tmpl w:val="E24C28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1472F"/>
    <w:rsid w:val="009D7645"/>
    <w:rsid w:val="00A1472F"/>
    <w:rsid w:val="00A72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spacing w:before="240" w:after="60"/>
      <w:outlineLvl w:val="2"/>
    </w:pPr>
    <w:rPr>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spacing w:before="240" w:after="60"/>
      <w:outlineLvl w:val="2"/>
    </w:pPr>
    <w:rPr>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loudinfo@gsa.gov"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cio.gov/documents/fedarch1.pdf" TargetMode="External"/><Relationship Id="rId2" Type="http://schemas.openxmlformats.org/officeDocument/2006/relationships/hyperlink" Target="https://www.whitehouse.gov/briefings-statements/omb-announces-cloud-smart-proposal/" TargetMode="External"/><Relationship Id="rId1" Type="http://schemas.openxmlformats.org/officeDocument/2006/relationships/hyperlink" Target="https://cloud.cio.gov/strate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2738</Words>
  <Characters>15609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18311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BenjaminATodd</dc:creator>
  <cp:lastModifiedBy>BenjaminATodd</cp:lastModifiedBy>
  <cp:revision>2</cp:revision>
  <dcterms:created xsi:type="dcterms:W3CDTF">2019-05-03T20:12:00Z</dcterms:created>
  <dcterms:modified xsi:type="dcterms:W3CDTF">2019-05-03T20:12:00Z</dcterms:modified>
</cp:coreProperties>
</file>