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463"/>
        <w:gridCol w:w="3742"/>
      </w:tblGrid>
      <w:tr>
        <w:tc>
          <w:tcPr>
            <w:tcW w:type="dxa" w:w="6463"/>
            <w:tcBorders>
              <w:bottom w:val="single" w:sz="18" w:space="0" w:color="0F2A44"/>
            </w:tcBorders>
            <w:tcMar>
              <w:bottom w:w="125" w:type="dxa"/>
            </w:tcMar>
          </w:tcPr>
          <w:p>
            <w:pPr>
              <w:keepNext/>
              <w:keepLines w:val="0"/>
              <w:spacing w:before="0" w:after="20" w:line="269" w:lineRule="auto"/>
            </w:pPr>
            <w:r>
              <w:rPr>
                <w:rFonts w:ascii="Calibri" w:hAnsi="Calibri" w:eastAsia="Calibri" w:cs="Calibri"/>
                <w:b/>
                <w:i w:val="0"/>
                <w:caps/>
                <w:color w:val="1E5C38"/>
                <w:spacing w:val="15"/>
                <w:sz w:val="15"/>
              </w:rPr>
              <w:t>PROKON CRM · CONFIDENTIAL — FOR CLIENT REVIEW</w:t>
            </w:r>
          </w:p>
          <w:p>
            <w:pPr>
              <w:keepNext/>
              <w:keepLines w:val="0"/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0F2A44"/>
                <w:spacing w:val="-5"/>
                <w:sz w:val="34"/>
              </w:rPr>
              <w:t>API Integration &amp; Tally Export</w:t>
            </w:r>
          </w:p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8"/>
              </w:rPr>
              <w:t>How e-Invoicing (IRN + E-Way Bill) and Tally accounting will run automatically from inside the CRM — and a five-day plan to set it up.</w:t>
            </w:r>
          </w:p>
        </w:tc>
        <w:tc>
          <w:tcPr>
            <w:tcW w:type="dxa" w:w="3742"/>
            <w:tcBorders>
              <w:bottom w:val="single" w:sz="18" w:space="0" w:color="0F2A44"/>
            </w:tcBorders>
            <w:tcMar>
              <w:bottom w:w="125" w:type="dxa"/>
            </w:tcMar>
            <w:vAlign w:val="bottom"/>
          </w:tcPr>
          <w:p>
            <w:pPr>
              <w:keepNext w:val="0"/>
              <w:keepLines w:val="0"/>
              <w:spacing w:before="0" w:after="20" w:line="276" w:lineRule="auto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5A6B78"/>
                <w:sz w:val="14"/>
              </w:rPr>
              <w:t>Prepared for:</w:t>
            </w:r>
            <w:r>
              <w:rPr>
                <w:rFonts w:ascii="Calibri" w:hAnsi="Calibri" w:eastAsia="Calibri" w:cs="Calibri"/>
                <w:b w:val="0"/>
                <w:i w:val="0"/>
                <w:color w:val="94A3B8"/>
                <w:sz w:val="14"/>
              </w:rPr>
              <w:t xml:space="preserve"> Prokon</w:t>
            </w:r>
          </w:p>
          <w:p>
            <w:pPr>
              <w:keepNext w:val="0"/>
              <w:keepLines w:val="0"/>
              <w:spacing w:before="0" w:after="20" w:line="276" w:lineRule="auto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5A6B78"/>
                <w:sz w:val="14"/>
              </w:rPr>
              <w:t>Scope:</w:t>
            </w:r>
            <w:r>
              <w:rPr>
                <w:rFonts w:ascii="Calibri" w:hAnsi="Calibri" w:eastAsia="Calibri" w:cs="Calibri"/>
                <w:b w:val="0"/>
                <w:i w:val="0"/>
                <w:color w:val="94A3B8"/>
                <w:sz w:val="14"/>
              </w:rPr>
              <w:t xml:space="preserve"> 3 branches · 1 Tally company</w:t>
            </w:r>
          </w:p>
          <w:p>
            <w:pPr>
              <w:keepNext w:val="0"/>
              <w:keepLines w:val="0"/>
              <w:spacing w:before="0" w:after="20" w:line="276" w:lineRule="auto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5A6B78"/>
                <w:sz w:val="14"/>
              </w:rPr>
              <w:t>Delivery:</w:t>
            </w:r>
            <w:r>
              <w:rPr>
                <w:rFonts w:ascii="Calibri" w:hAnsi="Calibri" w:eastAsia="Calibri" w:cs="Calibri"/>
                <w:b w:val="0"/>
                <w:i w:val="0"/>
                <w:color w:val="94A3B8"/>
                <w:sz w:val="14"/>
              </w:rPr>
              <w:t xml:space="preserve"> 5 working days</w:t>
            </w:r>
          </w:p>
          <w:p>
            <w:pPr>
              <w:keepNext w:val="0"/>
              <w:keepLines w:val="0"/>
              <w:spacing w:before="0" w:after="0" w:line="276" w:lineRule="auto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5A6B78"/>
                <w:sz w:val="14"/>
              </w:rPr>
              <w:t>Version:</w:t>
            </w:r>
            <w:r>
              <w:rPr>
                <w:rFonts w:ascii="Calibri" w:hAnsi="Calibri" w:eastAsia="Calibri" w:cs="Calibri"/>
                <w:b w:val="0"/>
                <w:i w:val="0"/>
                <w:color w:val="94A3B8"/>
                <w:sz w:val="14"/>
              </w:rPr>
              <w:t xml:space="preserve"> 1.0</w:t>
            </w:r>
          </w:p>
        </w:tc>
      </w:tr>
    </w:tbl>
    <w:p>
      <w:pPr>
        <w:keepNext w:val="0"/>
        <w:keepLines w:val="0"/>
        <w:spacing w:before="0" w:after="100" w:line="240" w:lineRule="auto"/>
      </w:pPr>
      <w:r>
        <w:rPr>
          <w:rFonts w:ascii="Calibri" w:hAnsi="Calibri" w:eastAsia="Calibri" w:cs="Calibri"/>
          <w:b w:val="0"/>
          <w:i w:val="0"/>
          <w:color w:val="1E293B"/>
          <w:sz w:val="4"/>
        </w:rPr>
      </w:r>
    </w:p>
    <w:p>
      <w:pPr>
        <w:keepNext/>
        <w:keepLines w:val="0"/>
        <w:spacing w:before="40" w:after="70" w:line="240" w:lineRule="auto"/>
      </w:pPr>
      <w:r>
        <w:rPr>
          <w:rFonts w:ascii="Calibri" w:hAnsi="Calibri" w:eastAsia="Calibri" w:cs="Calibri"/>
          <w:b/>
          <w:i w:val="0"/>
          <w:color w:val="1E5C38"/>
          <w:spacing w:val="4"/>
          <w:sz w:val="16"/>
          <w:shd w:val="clear" w:color="auto" w:fill="F5F8FA"/>
        </w:rPr>
        <w:t xml:space="preserve"> 01 </w:t>
      </w:r>
      <w:r>
        <w:rPr>
          <w:rFonts w:ascii="Calibri" w:hAnsi="Calibri" w:eastAsia="Calibri" w:cs="Calibri"/>
          <w:b/>
          <w:i w:val="0"/>
          <w:color w:val="0F2A44"/>
          <w:sz w:val="21"/>
        </w:rPr>
        <w:t xml:space="preserve">  Two automations, one source of truth</w:t>
      </w:r>
    </w:p>
    <w:tbl>
      <w:tblPr>
        <w:tblW w:type="auto" w:w="0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017"/>
        <w:gridCol w:w="170"/>
        <w:gridCol w:w="5017"/>
      </w:tblGrid>
      <w:tr>
        <w:tc>
          <w:tcPr>
            <w:tcW w:type="dxa" w:w="5017"/>
            <w:shd w:val="clear" w:color="auto" w:fill="F5F8FA"/>
            <w:tcMar>
              <w:top w:w="113" w:type="dxa"/>
              <w:left w:w="136" w:type="dxa"/>
              <w:bottom w:w="113" w:type="dxa"/>
              <w:right w:w="136" w:type="dxa"/>
            </w:tcMar>
          </w:tcPr>
          <w:p>
            <w:pPr>
              <w:keepNext/>
              <w:keepLines w:val="0"/>
              <w:spacing w:before="0" w:after="30" w:line="269" w:lineRule="auto"/>
            </w:pPr>
            <w:r>
              <w:rPr>
                <w:rFonts w:ascii="Calibri" w:hAnsi="Calibri" w:eastAsia="Calibri" w:cs="Calibri"/>
                <w:b/>
                <w:i w:val="0"/>
                <w:color w:val="1E5C38"/>
                <w:spacing w:val="10"/>
                <w:sz w:val="14"/>
              </w:rPr>
              <w:t>A · COMPLIANCE</w:t>
            </w:r>
          </w:p>
          <w:p>
            <w:pPr>
              <w:keepNext/>
              <w:keepLines w:val="0"/>
              <w:spacing w:before="0" w:after="40"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0F2A44"/>
                <w:sz w:val="18"/>
              </w:rPr>
              <w:t>GSP API — E-Invoice (IRN) &amp; E-Way Bill</w:t>
            </w:r>
          </w:p>
          <w:p>
            <w:pPr>
              <w:keepNext w:val="0"/>
              <w:keepLines w:val="0"/>
              <w:spacing w:before="0" w:after="80" w:line="269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7"/>
              </w:rPr>
              <w:t>The CRM itself fetches the legally valid IRN, acknowledgement number, signed QR code and E-Way Bill number from the Government portal, through our GSP partner. No separate portal login, no copy-paste.</w:t>
            </w:r>
          </w:p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E5C38"/>
                <w:spacing w:val="2"/>
                <w:sz w:val="16"/>
                <w:shd w:val="clear" w:color="auto" w:fill="EDF3EC"/>
              </w:rPr>
              <w:t xml:space="preserve"> ₹29,500 / year · 4,000 API calls </w:t>
            </w:r>
          </w:p>
        </w:tc>
        <w:tc>
          <w:tcPr>
            <w:tcW w:type="dxa" w:w="170"/>
          </w:tcPr>
          <w:p/>
        </w:tc>
        <w:tc>
          <w:tcPr>
            <w:tcW w:type="dxa" w:w="5017"/>
            <w:shd w:val="clear" w:color="auto" w:fill="F5F8FA"/>
            <w:tcMar>
              <w:top w:w="113" w:type="dxa"/>
              <w:left w:w="136" w:type="dxa"/>
              <w:bottom w:w="113" w:type="dxa"/>
              <w:right w:w="136" w:type="dxa"/>
            </w:tcMar>
          </w:tcPr>
          <w:p>
            <w:pPr>
              <w:keepNext/>
              <w:keepLines w:val="0"/>
              <w:spacing w:before="0" w:after="30" w:line="269" w:lineRule="auto"/>
            </w:pPr>
            <w:r>
              <w:rPr>
                <w:rFonts w:ascii="Calibri" w:hAnsi="Calibri" w:eastAsia="Calibri" w:cs="Calibri"/>
                <w:b/>
                <w:i w:val="0"/>
                <w:color w:val="1E5C38"/>
                <w:spacing w:val="10"/>
                <w:sz w:val="14"/>
              </w:rPr>
              <w:t>B · ACCOUNTING</w:t>
            </w:r>
          </w:p>
          <w:p>
            <w:pPr>
              <w:keepNext/>
              <w:keepLines w:val="0"/>
              <w:spacing w:before="0" w:after="40"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0F2A44"/>
                <w:sz w:val="18"/>
              </w:rPr>
              <w:t>Tally Export — books stay in TallyPrime</w:t>
            </w:r>
          </w:p>
          <w:p>
            <w:pPr>
              <w:keepNext w:val="0"/>
              <w:keepLines w:val="0"/>
              <w:spacing w:before="0" w:after="80" w:line="269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7"/>
              </w:rPr>
              <w:t>Every CRM invoice is converted into TallyPrime vouchers with matching ledgers, GST rate buckets and invoice references. One file, imported in one go — Sales, GST and party ledgers update together.</w:t>
            </w:r>
          </w:p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E5C38"/>
                <w:spacing w:val="2"/>
                <w:sz w:val="16"/>
                <w:shd w:val="clear" w:color="auto" w:fill="EDF3EC"/>
              </w:rPr>
              <w:t xml:space="preserve"> ₹0 — Tally's import gateway is built in </w:t>
            </w:r>
          </w:p>
        </w:tc>
      </w:tr>
    </w:tbl>
    <w:p>
      <w:pPr>
        <w:keepNext w:val="0"/>
        <w:keepLines w:val="0"/>
        <w:pBdr>
          <w:left w:val="single" w:sz="19" w:space="6" w:color="1E5C38"/>
        </w:pBdr>
        <w:shd w:val="clear" w:color="auto" w:fill="EDF3EC"/>
        <w:spacing w:before="80" w:after="0" w:line="269" w:lineRule="auto"/>
        <w:ind w:left="102" w:right="102"/>
      </w:pPr>
      <w:r>
        <w:rPr>
          <w:rFonts w:ascii="Calibri" w:hAnsi="Calibri" w:eastAsia="Calibri" w:cs="Calibri"/>
          <w:b/>
          <w:i w:val="0"/>
          <w:color w:val="1E5C38"/>
          <w:sz w:val="17"/>
        </w:rPr>
        <w:t>The rule both follow:</w:t>
      </w:r>
      <w:r>
        <w:rPr>
          <w:rFonts w:ascii="Calibri" w:hAnsi="Calibri" w:eastAsia="Calibri" w:cs="Calibri"/>
          <w:b w:val="0"/>
          <w:i w:val="0"/>
          <w:color w:val="1E293B"/>
          <w:sz w:val="17"/>
        </w:rPr>
        <w:t xml:space="preserve"> the CRM is the only place a bill is created. Nothing is re-typed in the Government portal or in Tally — so the same figures reach the tax department and your books.</w:t>
      </w:r>
    </w:p>
    <w:p>
      <w:pPr>
        <w:keepNext/>
        <w:keepLines w:val="0"/>
        <w:spacing w:before="40" w:after="70" w:line="240" w:lineRule="auto"/>
      </w:pPr>
      <w:r>
        <w:rPr>
          <w:rFonts w:ascii="Calibri" w:hAnsi="Calibri" w:eastAsia="Calibri" w:cs="Calibri"/>
          <w:b/>
          <w:i w:val="0"/>
          <w:color w:val="1E5C38"/>
          <w:spacing w:val="4"/>
          <w:sz w:val="16"/>
          <w:shd w:val="clear" w:color="auto" w:fill="F5F8FA"/>
        </w:rPr>
        <w:t xml:space="preserve"> 02 </w:t>
      </w:r>
      <w:r>
        <w:rPr>
          <w:rFonts w:ascii="Calibri" w:hAnsi="Calibri" w:eastAsia="Calibri" w:cs="Calibri"/>
          <w:b/>
          <w:i w:val="0"/>
          <w:color w:val="0F2A44"/>
          <w:sz w:val="21"/>
        </w:rPr>
        <w:t xml:space="preserve">  The process, end to end</w:t>
      </w:r>
    </w:p>
    <w:p>
      <w:pPr>
        <w:keepNext/>
        <w:keepLines w:val="0"/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3999" cy="1753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3999" cy="17531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82"/>
        <w:gridCol w:w="9723"/>
      </w:tblGrid>
      <w:tr>
        <w:trPr>
          <w:cantSplit/>
        </w:trPr>
        <w:tc>
          <w:tcPr>
            <w:tcW w:type="dxa" w:w="482"/>
            <w:tcMar>
              <w:right w:w="57" w:type="dxa"/>
            </w:tcMar>
          </w:tcPr>
          <w:p>
            <w:pPr>
              <w:keepNext w:val="0"/>
              <w:keepLines w:val="0"/>
              <w:spacing w:before="0" w:after="32" w:line="252" w:lineRule="auto"/>
            </w:pPr>
            <w:r>
              <w:rPr>
                <w:rFonts w:ascii="Calibri" w:hAnsi="Calibri" w:eastAsia="Calibri" w:cs="Calibri"/>
                <w:b/>
                <w:i w:val="0"/>
                <w:color w:val="1E5C38"/>
                <w:sz w:val="16"/>
              </w:rPr>
              <w:t>1</w:t>
            </w:r>
          </w:p>
        </w:tc>
        <w:tc>
          <w:tcPr>
            <w:tcW w:type="dxa" w:w="9723"/>
            <w:tcMar>
              <w:left w:w="57" w:type="dxa"/>
            </w:tcMar>
          </w:tcPr>
          <w:p>
            <w:pPr>
              <w:keepNext w:val="0"/>
              <w:keepLines w:val="0"/>
              <w:spacing w:before="0" w:after="32" w:line="252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6"/>
              </w:rPr>
              <w:t>Invoice created in the CRM — any of the three branches, exactly as today.</w:t>
            </w:r>
          </w:p>
        </w:tc>
      </w:tr>
      <w:tr>
        <w:trPr>
          <w:cantSplit/>
        </w:trPr>
        <w:tc>
          <w:tcPr>
            <w:tcW w:type="dxa" w:w="482"/>
            <w:tcMar>
              <w:right w:w="57" w:type="dxa"/>
            </w:tcMar>
          </w:tcPr>
          <w:p>
            <w:pPr>
              <w:keepNext w:val="0"/>
              <w:keepLines w:val="0"/>
              <w:spacing w:before="0" w:after="32" w:line="252" w:lineRule="auto"/>
            </w:pPr>
            <w:r>
              <w:rPr>
                <w:rFonts w:ascii="Calibri" w:hAnsi="Calibri" w:eastAsia="Calibri" w:cs="Calibri"/>
                <w:b/>
                <w:i w:val="0"/>
                <w:color w:val="1E5C38"/>
                <w:sz w:val="16"/>
              </w:rPr>
              <w:t>2A</w:t>
            </w:r>
          </w:p>
        </w:tc>
        <w:tc>
          <w:tcPr>
            <w:tcW w:type="dxa" w:w="9723"/>
            <w:tcMar>
              <w:left w:w="57" w:type="dxa"/>
            </w:tcMar>
          </w:tcPr>
          <w:p>
            <w:pPr>
              <w:keepNext w:val="0"/>
              <w:keepLines w:val="0"/>
              <w:spacing w:before="0" w:after="32" w:line="252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6"/>
              </w:rPr>
              <w:t>Validation, then a secure server-to-server call to the GSP API. Credentials never reach the browser.</w:t>
            </w:r>
          </w:p>
        </w:tc>
      </w:tr>
      <w:tr>
        <w:trPr>
          <w:cantSplit/>
        </w:trPr>
        <w:tc>
          <w:tcPr>
            <w:tcW w:type="dxa" w:w="482"/>
            <w:tcMar>
              <w:right w:w="57" w:type="dxa"/>
            </w:tcMar>
          </w:tcPr>
          <w:p>
            <w:pPr>
              <w:keepNext w:val="0"/>
              <w:keepLines w:val="0"/>
              <w:spacing w:before="0" w:after="32" w:line="252" w:lineRule="auto"/>
            </w:pPr>
            <w:r>
              <w:rPr>
                <w:rFonts w:ascii="Calibri" w:hAnsi="Calibri" w:eastAsia="Calibri" w:cs="Calibri"/>
                <w:b/>
                <w:i w:val="0"/>
                <w:color w:val="1E5C38"/>
                <w:sz w:val="16"/>
              </w:rPr>
              <w:t>3A</w:t>
            </w:r>
          </w:p>
        </w:tc>
        <w:tc>
          <w:tcPr>
            <w:tcW w:type="dxa" w:w="9723"/>
            <w:tcMar>
              <w:left w:w="57" w:type="dxa"/>
            </w:tcMar>
          </w:tcPr>
          <w:p>
            <w:pPr>
              <w:keepNext w:val="0"/>
              <w:keepLines w:val="0"/>
              <w:spacing w:before="0" w:after="32" w:line="252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6"/>
              </w:rPr>
              <w:t>Government returns IRN, acknowledgement number, signed QR and E-Way Bill number; the invoice is marked Complete.</w:t>
            </w:r>
          </w:p>
        </w:tc>
      </w:tr>
      <w:tr>
        <w:trPr>
          <w:cantSplit/>
        </w:trPr>
        <w:tc>
          <w:tcPr>
            <w:tcW w:type="dxa" w:w="482"/>
            <w:tcMar>
              <w:right w:w="57" w:type="dxa"/>
            </w:tcMar>
          </w:tcPr>
          <w:p>
            <w:pPr>
              <w:keepNext w:val="0"/>
              <w:keepLines w:val="0"/>
              <w:spacing w:before="0" w:after="32" w:line="252" w:lineRule="auto"/>
            </w:pPr>
            <w:r>
              <w:rPr>
                <w:rFonts w:ascii="Calibri" w:hAnsi="Calibri" w:eastAsia="Calibri" w:cs="Calibri"/>
                <w:b/>
                <w:i w:val="0"/>
                <w:color w:val="1E5C38"/>
                <w:sz w:val="16"/>
              </w:rPr>
              <w:t>2B</w:t>
            </w:r>
          </w:p>
        </w:tc>
        <w:tc>
          <w:tcPr>
            <w:tcW w:type="dxa" w:w="9723"/>
            <w:tcMar>
              <w:left w:w="57" w:type="dxa"/>
            </w:tcMar>
          </w:tcPr>
          <w:p>
            <w:pPr>
              <w:keepNext w:val="0"/>
              <w:keepLines w:val="0"/>
              <w:spacing w:before="0" w:after="32" w:line="252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6"/>
              </w:rPr>
              <w:t>Export engine converts the invoice into Tally vouchers and checks every figure first.</w:t>
            </w:r>
          </w:p>
        </w:tc>
      </w:tr>
      <w:tr>
        <w:trPr>
          <w:cantSplit/>
        </w:trPr>
        <w:tc>
          <w:tcPr>
            <w:tcW w:type="dxa" w:w="482"/>
            <w:tcMar>
              <w:right w:w="57" w:type="dxa"/>
            </w:tcMar>
          </w:tcPr>
          <w:p>
            <w:pPr>
              <w:keepNext w:val="0"/>
              <w:keepLines w:val="0"/>
              <w:spacing w:before="0" w:after="32" w:line="252" w:lineRule="auto"/>
            </w:pPr>
            <w:r>
              <w:rPr>
                <w:rFonts w:ascii="Calibri" w:hAnsi="Calibri" w:eastAsia="Calibri" w:cs="Calibri"/>
                <w:b/>
                <w:i w:val="0"/>
                <w:color w:val="1E5C38"/>
                <w:sz w:val="16"/>
              </w:rPr>
              <w:t>3B</w:t>
            </w:r>
          </w:p>
        </w:tc>
        <w:tc>
          <w:tcPr>
            <w:tcW w:type="dxa" w:w="9723"/>
            <w:tcMar>
              <w:left w:w="57" w:type="dxa"/>
            </w:tcMar>
          </w:tcPr>
          <w:p>
            <w:pPr>
              <w:keepNext w:val="0"/>
              <w:keepLines w:val="0"/>
              <w:spacing w:before="0" w:after="32" w:line="252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6"/>
              </w:rPr>
              <w:t>One XML file imported into a Tally trial company first, then into your live company.</w:t>
            </w:r>
          </w:p>
        </w:tc>
      </w:tr>
      <w:tr>
        <w:trPr>
          <w:cantSplit/>
        </w:trPr>
        <w:tc>
          <w:tcPr>
            <w:tcW w:type="dxa" w:w="482"/>
            <w:tcMar>
              <w:right w:w="57" w:type="dxa"/>
            </w:tcMar>
          </w:tcPr>
          <w:p>
            <w:pPr>
              <w:keepNext w:val="0"/>
              <w:keepLines w:val="0"/>
              <w:spacing w:before="0" w:after="32" w:line="252" w:lineRule="auto"/>
            </w:pPr>
            <w:r>
              <w:rPr>
                <w:rFonts w:ascii="Calibri" w:hAnsi="Calibri" w:eastAsia="Calibri" w:cs="Calibri"/>
                <w:b/>
                <w:i w:val="0"/>
                <w:color w:val="1E5C38"/>
                <w:sz w:val="16"/>
              </w:rPr>
              <w:t>★</w:t>
            </w:r>
          </w:p>
        </w:tc>
        <w:tc>
          <w:tcPr>
            <w:tcW w:type="dxa" w:w="9723"/>
            <w:tcMar>
              <w:left w:w="57" w:type="dxa"/>
            </w:tcMar>
          </w:tcPr>
          <w:p>
            <w:pPr>
              <w:keepNext w:val="0"/>
              <w:keepLines w:val="0"/>
              <w:spacing w:before="0" w:after="32" w:line="252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6"/>
              </w:rPr>
              <w:t>Both paths start from the same stored invoice — that is what keeps taxes and books in agreement.</w:t>
            </w:r>
          </w:p>
        </w:tc>
      </w:tr>
    </w:tbl>
    <w:p>
      <w:pPr>
        <w:keepNext/>
        <w:keepLines w:val="0"/>
        <w:spacing w:before="120" w:after="70" w:line="240" w:lineRule="auto"/>
      </w:pPr>
      <w:r>
        <w:rPr>
          <w:rFonts w:ascii="Calibri" w:hAnsi="Calibri" w:eastAsia="Calibri" w:cs="Calibri"/>
          <w:b/>
          <w:i w:val="0"/>
          <w:color w:val="1E5C38"/>
          <w:spacing w:val="4"/>
          <w:sz w:val="16"/>
          <w:shd w:val="clear" w:color="auto" w:fill="F5F8FA"/>
        </w:rPr>
        <w:t xml:space="preserve"> 03 </w:t>
      </w:r>
      <w:r>
        <w:rPr>
          <w:rFonts w:ascii="Calibri" w:hAnsi="Calibri" w:eastAsia="Calibri" w:cs="Calibri"/>
          <w:b/>
          <w:i w:val="0"/>
          <w:color w:val="0F2A44"/>
          <w:sz w:val="21"/>
        </w:rPr>
        <w:t xml:space="preserve">  What changes for your team</w:t>
      </w:r>
    </w:p>
    <w:tbl>
      <w:tblPr>
        <w:tblW w:type="auto" w:w="0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4082"/>
      </w:tblGrid>
      <w:tr>
        <w:tc>
          <w:tcPr>
            <w:tcW w:type="dxa" w:w="2041"/>
            <w:tcBorders>
              <w:bottom w:val="single" w:sz="11" w:space="0" w:color="0F2A44"/>
            </w:tcBorders>
            <w:tcMar>
              <w:bottom w:w="45" w:type="dxa"/>
            </w:tcMar>
          </w:tcPr>
          <w:p>
            <w:pPr>
              <w:keepNext w:val="0"/>
              <w:keepLines w:val="0"/>
              <w:spacing w:before="0" w:after="40" w:line="252" w:lineRule="auto"/>
            </w:pPr>
            <w:r>
              <w:rPr>
                <w:rFonts w:ascii="Calibri" w:hAnsi="Calibri" w:eastAsia="Calibri" w:cs="Calibri"/>
                <w:b/>
                <w:i w:val="0"/>
                <w:caps/>
                <w:color w:val="94A3B8"/>
                <w:spacing w:val="8"/>
                <w:sz w:val="14"/>
              </w:rPr>
              <w:t>TASK</w:t>
            </w:r>
          </w:p>
        </w:tc>
        <w:tc>
          <w:tcPr>
            <w:tcW w:type="dxa" w:w="4082"/>
            <w:tcBorders>
              <w:bottom w:val="single" w:sz="11" w:space="0" w:color="0F2A44"/>
            </w:tcBorders>
            <w:tcMar>
              <w:bottom w:w="45" w:type="dxa"/>
            </w:tcMar>
          </w:tcPr>
          <w:p>
            <w:pPr>
              <w:keepNext w:val="0"/>
              <w:keepLines w:val="0"/>
              <w:spacing w:before="0" w:after="40" w:line="252" w:lineRule="auto"/>
            </w:pPr>
            <w:r>
              <w:rPr>
                <w:rFonts w:ascii="Calibri" w:hAnsi="Calibri" w:eastAsia="Calibri" w:cs="Calibri"/>
                <w:b/>
                <w:i w:val="0"/>
                <w:caps/>
                <w:color w:val="94A3B8"/>
                <w:spacing w:val="8"/>
                <w:sz w:val="14"/>
              </w:rPr>
              <w:t>TODAY — MANUAL</w:t>
            </w:r>
          </w:p>
        </w:tc>
        <w:tc>
          <w:tcPr>
            <w:tcW w:type="dxa" w:w="4082"/>
            <w:tcBorders>
              <w:bottom w:val="single" w:sz="11" w:space="0" w:color="0F2A44"/>
            </w:tcBorders>
            <w:tcMar>
              <w:bottom w:w="45" w:type="dxa"/>
            </w:tcMar>
          </w:tcPr>
          <w:p>
            <w:pPr>
              <w:keepNext w:val="0"/>
              <w:keepLines w:val="0"/>
              <w:spacing w:before="0" w:after="40" w:line="252" w:lineRule="auto"/>
            </w:pPr>
            <w:r>
              <w:rPr>
                <w:rFonts w:ascii="Calibri" w:hAnsi="Calibri" w:eastAsia="Calibri" w:cs="Calibri"/>
                <w:b/>
                <w:i w:val="0"/>
                <w:caps/>
                <w:color w:val="94A3B8"/>
                <w:spacing w:val="8"/>
                <w:sz w:val="14"/>
              </w:rPr>
              <w:t>AFTER INTEGRATION — AUTOMATIC</w:t>
            </w:r>
          </w:p>
        </w:tc>
      </w:tr>
      <w:tr>
        <w:trPr>
          <w:cantSplit/>
        </w:trPr>
        <w:tc>
          <w:tcPr>
            <w:tcW w:type="dxa" w:w="2041"/>
            <w:tcBorders>
              <w:bottom w:val="single" w:sz="6" w:space="0" w:color="DFE5EA"/>
            </w:tcBorders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Calibri" w:cs="Calibri"/>
                <w:b/>
                <w:i w:val="0"/>
                <w:color w:val="12212E"/>
                <w:sz w:val="16"/>
              </w:rPr>
              <w:t>IRN / e-Invoice</w:t>
            </w:r>
          </w:p>
        </w:tc>
        <w:tc>
          <w:tcPr>
            <w:tcW w:type="dxa" w:w="4082"/>
            <w:tcBorders>
              <w:bottom w:val="single" w:sz="6" w:space="0" w:color="DFE5EA"/>
            </w:tcBorders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94A3B8"/>
                <w:sz w:val="16"/>
              </w:rPr>
              <w:t>Download JSON → upload to GST portal → copy the response → paste it back into the CRM</w:t>
            </w:r>
          </w:p>
        </w:tc>
        <w:tc>
          <w:tcPr>
            <w:tcW w:type="dxa" w:w="4082"/>
            <w:tcBorders>
              <w:bottom w:val="single" w:sz="6" w:space="0" w:color="DFE5EA"/>
            </w:tcBorders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2212E"/>
                <w:sz w:val="16"/>
              </w:rPr>
              <w:t>One click in the CRM. IRN, acknowledgement number and QR return and save themselves.</w:t>
            </w:r>
          </w:p>
        </w:tc>
      </w:tr>
      <w:tr>
        <w:trPr>
          <w:cantSplit/>
        </w:trPr>
        <w:tc>
          <w:tcPr>
            <w:tcW w:type="dxa" w:w="2041"/>
            <w:tcBorders>
              <w:bottom w:val="single" w:sz="6" w:space="0" w:color="DFE5EA"/>
            </w:tcBorders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Calibri" w:cs="Calibri"/>
                <w:b/>
                <w:i w:val="0"/>
                <w:color w:val="12212E"/>
                <w:sz w:val="16"/>
              </w:rPr>
              <w:t>E-Way Bill</w:t>
            </w:r>
          </w:p>
        </w:tc>
        <w:tc>
          <w:tcPr>
            <w:tcW w:type="dxa" w:w="4082"/>
            <w:tcBorders>
              <w:bottom w:val="single" w:sz="6" w:space="0" w:color="DFE5EA"/>
            </w:tcBorders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94A3B8"/>
                <w:sz w:val="16"/>
              </w:rPr>
              <w:t>A second manual round trip on a separate portal</w:t>
            </w:r>
          </w:p>
        </w:tc>
        <w:tc>
          <w:tcPr>
            <w:tcW w:type="dxa" w:w="4082"/>
            <w:tcBorders>
              <w:bottom w:val="single" w:sz="6" w:space="0" w:color="DFE5EA"/>
            </w:tcBorders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2212E"/>
                <w:sz w:val="16"/>
              </w:rPr>
              <w:t>Raised immediately after the IRN, with transport details prefilled and validity date stored.</w:t>
            </w:r>
          </w:p>
        </w:tc>
      </w:tr>
      <w:tr>
        <w:trPr>
          <w:cantSplit/>
        </w:trPr>
        <w:tc>
          <w:tcPr>
            <w:tcW w:type="dxa" w:w="2041"/>
            <w:tcBorders>
              <w:bottom w:val="single" w:sz="6" w:space="0" w:color="DFE5EA"/>
            </w:tcBorders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Calibri" w:cs="Calibri"/>
                <w:b/>
                <w:i w:val="0"/>
                <w:color w:val="12212E"/>
                <w:sz w:val="16"/>
              </w:rPr>
              <w:t>Tally entry</w:t>
            </w:r>
          </w:p>
        </w:tc>
        <w:tc>
          <w:tcPr>
            <w:tcW w:type="dxa" w:w="4082"/>
            <w:tcBorders>
              <w:bottom w:val="single" w:sz="6" w:space="0" w:color="DFE5EA"/>
            </w:tcBorders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94A3B8"/>
                <w:sz w:val="16"/>
              </w:rPr>
              <w:t>Accounts re-types every invoice into TallyPrime by hand</w:t>
            </w:r>
          </w:p>
        </w:tc>
        <w:tc>
          <w:tcPr>
            <w:tcW w:type="dxa" w:w="4082"/>
            <w:tcBorders>
              <w:bottom w:val="single" w:sz="6" w:space="0" w:color="DFE5EA"/>
            </w:tcBorders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2212E"/>
                <w:sz w:val="16"/>
              </w:rPr>
              <w:t>Pick a date range and branch, export one XML file, import it — all vouchers post at once.</w:t>
            </w:r>
          </w:p>
        </w:tc>
      </w:tr>
      <w:tr>
        <w:trPr>
          <w:cantSplit/>
        </w:trPr>
        <w:tc>
          <w:tcPr>
            <w:tcW w:type="dxa" w:w="2041"/>
            <w:tcBorders>
              <w:bottom w:val="single" w:sz="6" w:space="0" w:color="DFE5EA"/>
            </w:tcBorders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Calibri" w:cs="Calibri"/>
                <w:b/>
                <w:i w:val="0"/>
                <w:color w:val="12212E"/>
                <w:sz w:val="16"/>
              </w:rPr>
              <w:t>Errors &amp; audit</w:t>
            </w:r>
          </w:p>
        </w:tc>
        <w:tc>
          <w:tcPr>
            <w:tcW w:type="dxa" w:w="4082"/>
            <w:tcBorders>
              <w:bottom w:val="single" w:sz="6" w:space="0" w:color="DFE5EA"/>
            </w:tcBorders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94A3B8"/>
                <w:sz w:val="16"/>
              </w:rPr>
              <w:t>Mistakes surface late, usually at GST filing time</w:t>
            </w:r>
          </w:p>
        </w:tc>
        <w:tc>
          <w:tcPr>
            <w:tcW w:type="dxa" w:w="4082"/>
            <w:tcBorders>
              <w:bottom w:val="single" w:sz="6" w:space="0" w:color="DFE5EA"/>
            </w:tcBorders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2212E"/>
                <w:sz w:val="16"/>
              </w:rPr>
              <w:t>Balance and GST-rate checks block a bad voucher; every API call is logged and traceable.</w:t>
            </w:r>
          </w:p>
        </w:tc>
      </w:tr>
      <w:tr>
        <w:trPr>
          <w:cantSplit/>
        </w:trPr>
        <w:tc>
          <w:tcPr>
            <w:tcW w:type="dxa" w:w="2041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Calibri" w:cs="Calibri"/>
                <w:b/>
                <w:i w:val="0"/>
                <w:color w:val="12212E"/>
                <w:sz w:val="16"/>
              </w:rPr>
              <w:t>Reference integrity</w:t>
            </w:r>
          </w:p>
        </w:tc>
        <w:tc>
          <w:tcPr>
            <w:tcW w:type="dxa" w:w="4082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94A3B8"/>
                <w:sz w:val="16"/>
              </w:rPr>
              <w:t>A wrong or invented bill number cannot be detected</w:t>
            </w:r>
          </w:p>
        </w:tc>
        <w:tc>
          <w:tcPr>
            <w:tcW w:type="dxa" w:w="4082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2212E"/>
                <w:sz w:val="16"/>
              </w:rPr>
              <w:t>The system refuses to save or export a statutory reference that was not genuinely issued.</w:t>
            </w:r>
          </w:p>
        </w:tc>
      </w:tr>
    </w:tbl>
    <w:p>
      <w:r>
        <w:br w:type="page"/>
      </w:r>
    </w:p>
    <w:tbl>
      <w:tblPr>
        <w:tblW w:type="auto" w:w="0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463"/>
        <w:gridCol w:w="3742"/>
      </w:tblGrid>
      <w:tr>
        <w:tc>
          <w:tcPr>
            <w:tcW w:type="dxa" w:w="6463"/>
            <w:tcBorders>
              <w:bottom w:val="single" w:sz="18" w:space="0" w:color="0F2A44"/>
            </w:tcBorders>
            <w:tcMar>
              <w:bottom w:w="125" w:type="dxa"/>
            </w:tcMar>
          </w:tcPr>
          <w:p>
            <w:pPr>
              <w:keepNext/>
              <w:keepLines w:val="0"/>
              <w:spacing w:before="0" w:after="20" w:line="269" w:lineRule="auto"/>
            </w:pPr>
            <w:r>
              <w:rPr>
                <w:rFonts w:ascii="Calibri" w:hAnsi="Calibri" w:eastAsia="Calibri" w:cs="Calibri"/>
                <w:b/>
                <w:i w:val="0"/>
                <w:caps/>
                <w:color w:val="1E5C38"/>
                <w:spacing w:val="15"/>
                <w:sz w:val="15"/>
              </w:rPr>
              <w:t>PROKON CRM · DELIVERY PLAN</w:t>
            </w:r>
          </w:p>
          <w:p>
            <w:pPr>
              <w:keepNext/>
              <w:keepLines w:val="0"/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0F2A44"/>
                <w:spacing w:val="-5"/>
                <w:sz w:val="31"/>
              </w:rPr>
              <w:t>Five-day setup plan</w:t>
            </w:r>
          </w:p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8"/>
              </w:rPr>
              <w:t>Day by day: what gets built, and the single test that proves each day is finished.</w:t>
            </w:r>
          </w:p>
        </w:tc>
        <w:tc>
          <w:tcPr>
            <w:tcW w:type="dxa" w:w="3742"/>
            <w:tcBorders>
              <w:bottom w:val="single" w:sz="18" w:space="0" w:color="0F2A44"/>
            </w:tcBorders>
            <w:tcMar>
              <w:bottom w:w="125" w:type="dxa"/>
            </w:tcMar>
            <w:vAlign w:val="bottom"/>
          </w:tcPr>
          <w:p>
            <w:pPr>
              <w:keepNext w:val="0"/>
              <w:keepLines w:val="0"/>
              <w:spacing w:before="0" w:after="20" w:line="276" w:lineRule="auto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5A6B78"/>
                <w:sz w:val="14"/>
              </w:rPr>
              <w:t>Working days:</w:t>
            </w:r>
            <w:r>
              <w:rPr>
                <w:rFonts w:ascii="Calibri" w:hAnsi="Calibri" w:eastAsia="Calibri" w:cs="Calibri"/>
                <w:b w:val="0"/>
                <w:i w:val="0"/>
                <w:color w:val="94A3B8"/>
                <w:sz w:val="14"/>
              </w:rPr>
              <w:t xml:space="preserve"> 5</w:t>
            </w:r>
          </w:p>
          <w:p>
            <w:pPr>
              <w:keepNext w:val="0"/>
              <w:keepLines w:val="0"/>
              <w:spacing w:before="0" w:after="20" w:line="276" w:lineRule="auto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5A6B78"/>
                <w:sz w:val="14"/>
              </w:rPr>
              <w:t>Blocking inputs:</w:t>
            </w:r>
            <w:r>
              <w:rPr>
                <w:rFonts w:ascii="Calibri" w:hAnsi="Calibri" w:eastAsia="Calibri" w:cs="Calibri"/>
                <w:b w:val="0"/>
                <w:i w:val="0"/>
                <w:color w:val="94A3B8"/>
                <w:sz w:val="14"/>
              </w:rPr>
              <w:t xml:space="preserve"> from you, Day 0</w:t>
            </w:r>
          </w:p>
          <w:p>
            <w:pPr>
              <w:keepNext w:val="0"/>
              <w:keepLines w:val="0"/>
              <w:spacing w:before="0" w:after="20" w:line="276" w:lineRule="auto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5A6B78"/>
                <w:sz w:val="14"/>
              </w:rPr>
              <w:t>Go-live:</w:t>
            </w:r>
            <w:r>
              <w:rPr>
                <w:rFonts w:ascii="Calibri" w:hAnsi="Calibri" w:eastAsia="Calibri" w:cs="Calibri"/>
                <w:b w:val="0"/>
                <w:i w:val="0"/>
                <w:color w:val="94A3B8"/>
                <w:sz w:val="14"/>
              </w:rPr>
              <w:t xml:space="preserve"> end of Day 5</w:t>
            </w:r>
          </w:p>
          <w:p>
            <w:pPr>
              <w:keepNext w:val="0"/>
              <w:keepLines w:val="0"/>
              <w:spacing w:before="0" w:after="0" w:line="276" w:lineRule="auto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5A6B78"/>
                <w:sz w:val="14"/>
              </w:rPr>
              <w:t>Hypercare:</w:t>
            </w:r>
            <w:r>
              <w:rPr>
                <w:rFonts w:ascii="Calibri" w:hAnsi="Calibri" w:eastAsia="Calibri" w:cs="Calibri"/>
                <w:b w:val="0"/>
                <w:i w:val="0"/>
                <w:color w:val="94A3B8"/>
                <w:sz w:val="14"/>
              </w:rPr>
              <w:t xml:space="preserve"> 1 week after</w:t>
            </w:r>
          </w:p>
        </w:tc>
      </w:tr>
    </w:tbl>
    <w:p>
      <w:pPr>
        <w:keepNext w:val="0"/>
        <w:keepLines w:val="0"/>
        <w:spacing w:before="0" w:after="100" w:line="240" w:lineRule="auto"/>
      </w:pPr>
      <w:r>
        <w:rPr>
          <w:rFonts w:ascii="Calibri" w:hAnsi="Calibri" w:eastAsia="Calibri" w:cs="Calibri"/>
          <w:b w:val="0"/>
          <w:i w:val="0"/>
          <w:color w:val="1E293B"/>
          <w:sz w:val="4"/>
        </w:rPr>
      </w:r>
    </w:p>
    <w:p>
      <w:pPr>
        <w:keepNext/>
        <w:keepLines w:val="0"/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3999" cy="8718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3999" cy="87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40" w:line="264" w:lineRule="auto"/>
      </w:pPr>
      <w:r>
        <w:rPr>
          <w:rFonts w:ascii="Calibri" w:hAnsi="Calibri" w:eastAsia="Calibri" w:cs="Calibri"/>
          <w:b/>
          <w:i w:val="0"/>
          <w:color w:val="5A6B78"/>
          <w:sz w:val="14"/>
        </w:rPr>
        <w:t>Why this order:</w:t>
      </w:r>
      <w:r>
        <w:rPr>
          <w:rFonts w:ascii="Calibri" w:hAnsi="Calibri" w:eastAsia="Calibri" w:cs="Calibri"/>
          <w:b w:val="0"/>
          <w:i w:val="0"/>
          <w:color w:val="94A3B8"/>
          <w:sz w:val="14"/>
        </w:rPr>
        <w:t xml:space="preserve"> access first — nothing can be tested without it. Then the statutory path (Days 2–3), because an invoice has no legal validity without its IRN. Then the books (Day 4). Training and go-live last, so nobody is trained on something still moving.</w:t>
      </w:r>
    </w:p>
    <w:p>
      <w:pPr>
        <w:keepNext/>
        <w:keepLines w:val="0"/>
        <w:spacing w:before="40" w:after="70" w:line="240" w:lineRule="auto"/>
      </w:pPr>
      <w:r>
        <w:rPr>
          <w:rFonts w:ascii="Calibri" w:hAnsi="Calibri" w:eastAsia="Calibri" w:cs="Calibri"/>
          <w:b/>
          <w:i w:val="0"/>
          <w:color w:val="1E5C38"/>
          <w:spacing w:val="4"/>
          <w:sz w:val="16"/>
          <w:shd w:val="clear" w:color="auto" w:fill="F5F8FA"/>
        </w:rPr>
        <w:t xml:space="preserve"> 04 </w:t>
      </w:r>
      <w:r>
        <w:rPr>
          <w:rFonts w:ascii="Calibri" w:hAnsi="Calibri" w:eastAsia="Calibri" w:cs="Calibri"/>
          <w:b/>
          <w:i w:val="0"/>
          <w:color w:val="0F2A44"/>
          <w:sz w:val="21"/>
        </w:rPr>
        <w:t xml:space="preserve">  Day by day</w:t>
      </w:r>
    </w:p>
    <w:tbl>
      <w:tblPr>
        <w:tblW w:type="auto" w:w="0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017"/>
        <w:gridCol w:w="170"/>
        <w:gridCol w:w="5017"/>
      </w:tblGrid>
      <w:tr>
        <w:trPr>
          <w:cantSplit/>
          <w:cantSplit/>
        </w:trPr>
        <w:tc>
          <w:tcPr>
            <w:tcW w:type="dxa" w:w="5017"/>
            <w:tcBorders>
              <w:top w:val="single" w:sz="6" w:space="0" w:color="DFE5EA"/>
              <w:left w:val="single" w:sz="6" w:space="0" w:color="DFE5EA"/>
              <w:right w:val="single" w:sz="6" w:space="0" w:color="DFE5EA"/>
            </w:tcBorders>
            <w:shd w:val="clear" w:color="auto" w:fill="0F2A44"/>
            <w:tcMar>
              <w:top w:w="68" w:type="dxa"/>
              <w:left w:w="125" w:type="dxa"/>
              <w:bottom w:w="57" w:type="dxa"/>
              <w:right w:w="12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8FC7A8"/>
                <w:spacing w:val="12"/>
                <w:sz w:val="14"/>
              </w:rPr>
              <w:t>DAY 1</w:t>
            </w:r>
            <w:r>
              <w:rPr>
                <w:rFonts w:ascii="Calibri" w:hAnsi="Calibri" w:eastAsia="Calibri" w:cs="Calibri"/>
                <w:b/>
                <w:i w:val="0"/>
                <w:color w:val="FFFFFF"/>
                <w:sz w:val="16"/>
              </w:rPr>
              <w:t xml:space="preserve">  Foundation &amp; access</w:t>
            </w:r>
          </w:p>
        </w:tc>
        <w:tc>
          <w:tcPr>
            <w:tcW w:type="dxa" w:w="170"/>
          </w:tcPr>
          <w:p/>
        </w:tc>
        <w:tc>
          <w:tcPr>
            <w:tcW w:type="dxa" w:w="5017"/>
            <w:tcBorders>
              <w:top w:val="single" w:sz="6" w:space="0" w:color="DFE5EA"/>
              <w:left w:val="single" w:sz="6" w:space="0" w:color="DFE5EA"/>
              <w:right w:val="single" w:sz="6" w:space="0" w:color="DFE5EA"/>
            </w:tcBorders>
            <w:shd w:val="clear" w:color="auto" w:fill="0F2A44"/>
            <w:tcMar>
              <w:top w:w="68" w:type="dxa"/>
              <w:left w:w="125" w:type="dxa"/>
              <w:bottom w:w="57" w:type="dxa"/>
              <w:right w:w="12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8FC7A8"/>
                <w:spacing w:val="12"/>
                <w:sz w:val="14"/>
              </w:rPr>
              <w:t>DAY 2</w:t>
            </w:r>
            <w:r>
              <w:rPr>
                <w:rFonts w:ascii="Calibri" w:hAnsi="Calibri" w:eastAsia="Calibri" w:cs="Calibri"/>
                <w:b/>
                <w:i w:val="0"/>
                <w:color w:val="FFFFFF"/>
                <w:sz w:val="16"/>
              </w:rPr>
              <w:t xml:space="preserve">  GSP integration — E-Invoice (IRN)</w:t>
            </w:r>
          </w:p>
        </w:tc>
      </w:tr>
      <w:tr>
        <w:trPr>
          <w:cantSplit/>
          <w:cantSplit/>
        </w:trPr>
        <w:tc>
          <w:tcPr>
            <w:tcW w:type="dxa" w:w="5017"/>
            <w:tcBorders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FFFFFF"/>
            <w:tcMar>
              <w:top w:w="68" w:type="dxa"/>
              <w:left w:w="125" w:type="dxa"/>
              <w:bottom w:w="79" w:type="dxa"/>
              <w:right w:w="125" w:type="dxa"/>
            </w:tcMar>
            <w:vAlign w:val="top"/>
          </w:tcPr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Sandbox test credentials from the GSP partner configured and verified end to end.</w:t>
            </w:r>
          </w:p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Your Tally chart of accounts collected; every ledger name mapped to the export.</w:t>
            </w:r>
          </w:p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Existing invoice records audited for compliance data; a cleanup list prepared.</w:t>
            </w:r>
          </w:p>
          <w:p>
            <w:pPr>
              <w:keepNext w:val="0"/>
              <w:keepLines w:val="0"/>
              <w:pBdr>
                <w:top w:val="single" w:sz="6" w:space="3" w:color="DFE5EA"/>
              </w:pBdr>
              <w:spacing w:before="40" w:after="0" w:line="254" w:lineRule="auto"/>
            </w:pPr>
            <w:r>
              <w:rPr>
                <w:rFonts w:ascii="Calibri" w:hAnsi="Calibri" w:eastAsia="Calibri" w:cs="Calibri"/>
                <w:b/>
                <w:i w:val="0"/>
                <w:color w:val="1E5C38"/>
                <w:spacing w:val="8"/>
                <w:sz w:val="14"/>
              </w:rPr>
              <w:t>DONE WHEN</w:t>
            </w: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4"/>
              </w:rPr>
              <w:t xml:space="preserve"> — the CRM talks to the sandbox, and the ledger map matches your Tally company exactly.</w:t>
            </w:r>
          </w:p>
        </w:tc>
        <w:tc>
          <w:tcPr>
            <w:tcW w:type="dxa" w:w="170"/>
          </w:tcPr>
          <w:p/>
        </w:tc>
        <w:tc>
          <w:tcPr>
            <w:tcW w:type="dxa" w:w="5017"/>
            <w:tcBorders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FFFFFF"/>
            <w:tcMar>
              <w:top w:w="68" w:type="dxa"/>
              <w:left w:w="125" w:type="dxa"/>
              <w:bottom w:w="79" w:type="dxa"/>
              <w:right w:w="125" w:type="dxa"/>
            </w:tcMar>
            <w:vAlign w:val="top"/>
          </w:tcPr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Secure server-side connection built; credentials are never exposed to the browser.</w:t>
            </w:r>
          </w:p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IRN generation, cancellation and details lookup implemented and tested against sandbox.</w:t>
            </w:r>
          </w:p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Manual download-paste replaced by one button; kept as a fallback if the API is down.</w:t>
            </w:r>
          </w:p>
          <w:p>
            <w:pPr>
              <w:keepNext w:val="0"/>
              <w:keepLines w:val="0"/>
              <w:pBdr>
                <w:top w:val="single" w:sz="6" w:space="3" w:color="DFE5EA"/>
              </w:pBdr>
              <w:spacing w:before="40" w:after="0" w:line="254" w:lineRule="auto"/>
            </w:pPr>
            <w:r>
              <w:rPr>
                <w:rFonts w:ascii="Calibri" w:hAnsi="Calibri" w:eastAsia="Calibri" w:cs="Calibri"/>
                <w:b/>
                <w:i w:val="0"/>
                <w:color w:val="1E5C38"/>
                <w:spacing w:val="8"/>
                <w:sz w:val="14"/>
              </w:rPr>
              <w:t>DONE WHEN</w:t>
            </w: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4"/>
              </w:rPr>
              <w:t xml:space="preserve"> — a test invoice receives a real IRN from the sandbox and is marked Complete in the CRM.</w:t>
            </w:r>
          </w:p>
        </w:tc>
      </w:tr>
      <w:tr>
        <w:trPr>
          <w:cantSplit/>
          <w:cantSplit/>
        </w:trPr>
        <w:tc>
          <w:tcPr>
            <w:tcW w:type="dxa" w:w="5017"/>
            <w:tcBorders>
              <w:top w:val="single" w:sz="6" w:space="0" w:color="DFE5EA"/>
              <w:left w:val="single" w:sz="6" w:space="0" w:color="DFE5EA"/>
              <w:right w:val="single" w:sz="6" w:space="0" w:color="DFE5EA"/>
            </w:tcBorders>
            <w:shd w:val="clear" w:color="auto" w:fill="0F2A44"/>
            <w:tcMar>
              <w:top w:w="68" w:type="dxa"/>
              <w:left w:w="125" w:type="dxa"/>
              <w:bottom w:w="57" w:type="dxa"/>
              <w:right w:w="12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8FC7A8"/>
                <w:spacing w:val="12"/>
                <w:sz w:val="14"/>
              </w:rPr>
              <w:t>DAY 3</w:t>
            </w:r>
            <w:r>
              <w:rPr>
                <w:rFonts w:ascii="Calibri" w:hAnsi="Calibri" w:eastAsia="Calibri" w:cs="Calibri"/>
                <w:b/>
                <w:i w:val="0"/>
                <w:color w:val="FFFFFF"/>
                <w:sz w:val="16"/>
              </w:rPr>
              <w:t xml:space="preserve">  E-Way Bill &amp; compliance gates</w:t>
            </w:r>
          </w:p>
        </w:tc>
        <w:tc>
          <w:tcPr>
            <w:tcW w:type="dxa" w:w="170"/>
          </w:tcPr>
          <w:p/>
        </w:tc>
        <w:tc>
          <w:tcPr>
            <w:tcW w:type="dxa" w:w="5017"/>
            <w:tcBorders>
              <w:top w:val="single" w:sz="6" w:space="0" w:color="DFE5EA"/>
              <w:left w:val="single" w:sz="6" w:space="0" w:color="DFE5EA"/>
              <w:right w:val="single" w:sz="6" w:space="0" w:color="DFE5EA"/>
            </w:tcBorders>
            <w:shd w:val="clear" w:color="auto" w:fill="0F2A44"/>
            <w:tcMar>
              <w:top w:w="68" w:type="dxa"/>
              <w:left w:w="125" w:type="dxa"/>
              <w:bottom w:w="57" w:type="dxa"/>
              <w:right w:w="12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8FC7A8"/>
                <w:spacing w:val="12"/>
                <w:sz w:val="14"/>
              </w:rPr>
              <w:t>DAY 4</w:t>
            </w:r>
            <w:r>
              <w:rPr>
                <w:rFonts w:ascii="Calibri" w:hAnsi="Calibri" w:eastAsia="Calibri" w:cs="Calibri"/>
                <w:b/>
                <w:i w:val="0"/>
                <w:color w:val="FFFFFF"/>
                <w:sz w:val="16"/>
              </w:rPr>
              <w:t xml:space="preserve">  Tally export</w:t>
            </w:r>
          </w:p>
        </w:tc>
      </w:tr>
      <w:tr>
        <w:trPr>
          <w:cantSplit/>
          <w:cantSplit/>
        </w:trPr>
        <w:tc>
          <w:tcPr>
            <w:tcW w:type="dxa" w:w="5017"/>
            <w:tcBorders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FFFFFF"/>
            <w:tcMar>
              <w:top w:w="68" w:type="dxa"/>
              <w:left w:w="125" w:type="dxa"/>
              <w:bottom w:w="79" w:type="dxa"/>
              <w:right w:w="125" w:type="dxa"/>
            </w:tcMar>
            <w:vAlign w:val="top"/>
          </w:tcPr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E-Way Bill raised automatically after the IRN, with transport and dispatch details prefilled.</w:t>
            </w:r>
          </w:p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24-hour cancellation window enforced in the interface; validity date stored on the invoice.</w:t>
            </w:r>
          </w:p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Clear error messages, automatic retries, and a log of every API call.</w:t>
            </w:r>
          </w:p>
          <w:p>
            <w:pPr>
              <w:keepNext w:val="0"/>
              <w:keepLines w:val="0"/>
              <w:pBdr>
                <w:top w:val="single" w:sz="6" w:space="3" w:color="DFE5EA"/>
              </w:pBdr>
              <w:spacing w:before="40" w:after="0" w:line="254" w:lineRule="auto"/>
            </w:pPr>
            <w:r>
              <w:rPr>
                <w:rFonts w:ascii="Calibri" w:hAnsi="Calibri" w:eastAsia="Calibri" w:cs="Calibri"/>
                <w:b/>
                <w:i w:val="0"/>
                <w:color w:val="1E5C38"/>
                <w:spacing w:val="8"/>
                <w:sz w:val="14"/>
              </w:rPr>
              <w:t>DONE WHEN</w:t>
            </w: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4"/>
              </w:rPr>
              <w:t xml:space="preserve"> — a test E-Way Bill is generated with a valid till date, and cancellation after 24 hours is blocked.</w:t>
            </w:r>
          </w:p>
        </w:tc>
        <w:tc>
          <w:tcPr>
            <w:tcW w:type="dxa" w:w="170"/>
          </w:tcPr>
          <w:p/>
        </w:tc>
        <w:tc>
          <w:tcPr>
            <w:tcW w:type="dxa" w:w="5017"/>
            <w:tcBorders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FFFFFF"/>
            <w:tcMar>
              <w:top w:w="68" w:type="dxa"/>
              <w:left w:w="125" w:type="dxa"/>
              <w:bottom w:w="79" w:type="dxa"/>
              <w:right w:w="125" w:type="dxa"/>
            </w:tcMar>
            <w:vAlign w:val="top"/>
          </w:tcPr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Export wired in: choose a date range and branch, download the Tally XML.</w:t>
            </w:r>
          </w:p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Balance guard, one ledger per GST rate, and a drift report comparing CRM and Tally figures.</w:t>
            </w:r>
          </w:p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Imported into a Tally trial company; voucher count verified.</w:t>
            </w:r>
          </w:p>
          <w:p>
            <w:pPr>
              <w:keepNext w:val="0"/>
              <w:keepLines w:val="0"/>
              <w:pBdr>
                <w:top w:val="single" w:sz="6" w:space="3" w:color="DFE5EA"/>
              </w:pBdr>
              <w:spacing w:before="40" w:after="0" w:line="254" w:lineRule="auto"/>
            </w:pPr>
            <w:r>
              <w:rPr>
                <w:rFonts w:ascii="Calibri" w:hAnsi="Calibri" w:eastAsia="Calibri" w:cs="Calibri"/>
                <w:b/>
                <w:i w:val="0"/>
                <w:color w:val="1E5C38"/>
                <w:spacing w:val="8"/>
                <w:sz w:val="14"/>
              </w:rPr>
              <w:t>DONE WHEN</w:t>
            </w: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4"/>
              </w:rPr>
              <w:t xml:space="preserve"> — the Tally Sales register and Trial Balance tie back to the CRM invoice register, to the paisa.</w:t>
            </w:r>
          </w:p>
        </w:tc>
      </w:tr>
      <w:tr>
        <w:trPr>
          <w:cantSplit/>
          <w:cantSplit/>
        </w:trPr>
        <w:tc>
          <w:tcPr>
            <w:tcW w:type="dxa" w:w="5017"/>
            <w:tcBorders>
              <w:top w:val="single" w:sz="6" w:space="0" w:color="DFE5EA"/>
              <w:left w:val="single" w:sz="6" w:space="0" w:color="DFE5EA"/>
              <w:right w:val="single" w:sz="6" w:space="0" w:color="DFE5EA"/>
            </w:tcBorders>
            <w:shd w:val="clear" w:color="auto" w:fill="0F2A44"/>
            <w:tcMar>
              <w:top w:w="68" w:type="dxa"/>
              <w:left w:w="125" w:type="dxa"/>
              <w:bottom w:w="57" w:type="dxa"/>
              <w:right w:w="12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8FC7A8"/>
                <w:spacing w:val="12"/>
                <w:sz w:val="14"/>
              </w:rPr>
              <w:t>DAY 5</w:t>
            </w:r>
            <w:r>
              <w:rPr>
                <w:rFonts w:ascii="Calibri" w:hAnsi="Calibri" w:eastAsia="Calibri" w:cs="Calibri"/>
                <w:b/>
                <w:i w:val="0"/>
                <w:color w:val="FFFFFF"/>
                <w:sz w:val="16"/>
              </w:rPr>
              <w:t xml:space="preserve">  End-to-end test, training &amp; go-live</w:t>
            </w:r>
          </w:p>
        </w:tc>
        <w:tc>
          <w:tcPr>
            <w:tcW w:type="dxa" w:w="170"/>
          </w:tcPr>
          <w:p/>
        </w:tc>
        <w:tc>
          <w:tcPr>
            <w:tcW w:type="dxa" w:w="5017"/>
            <w:tcBorders>
              <w:top w:val="single" w:sz="6" w:space="0" w:color="E8D9B8"/>
              <w:left w:val="single" w:sz="6" w:space="0" w:color="E8D9B8"/>
              <w:right w:val="single" w:sz="6" w:space="0" w:color="E8D9B8"/>
            </w:tcBorders>
            <w:shd w:val="clear" w:color="auto" w:fill="8A5A00"/>
            <w:tcMar>
              <w:top w:w="68" w:type="dxa"/>
              <w:left w:w="125" w:type="dxa"/>
              <w:bottom w:w="57" w:type="dxa"/>
              <w:right w:w="12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F5D9A0"/>
                <w:spacing w:val="12"/>
                <w:sz w:val="14"/>
              </w:rPr>
              <w:t>DAY 0</w:t>
            </w:r>
            <w:r>
              <w:rPr>
                <w:rFonts w:ascii="Calibri" w:hAnsi="Calibri" w:eastAsia="Calibri" w:cs="Calibri"/>
                <w:b/>
                <w:i w:val="0"/>
                <w:color w:val="FFFFFF"/>
                <w:sz w:val="16"/>
              </w:rPr>
              <w:t xml:space="preserve">  What we need from you first</w:t>
            </w:r>
          </w:p>
        </w:tc>
      </w:tr>
      <w:tr>
        <w:trPr>
          <w:cantSplit/>
          <w:cantSplit/>
        </w:trPr>
        <w:tc>
          <w:tcPr>
            <w:tcW w:type="dxa" w:w="5017"/>
            <w:tcBorders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FFFFFF"/>
            <w:tcMar>
              <w:top w:w="68" w:type="dxa"/>
              <w:left w:w="125" w:type="dxa"/>
              <w:bottom w:w="79" w:type="dxa"/>
              <w:right w:w="125" w:type="dxa"/>
            </w:tcMar>
            <w:vAlign w:val="top"/>
          </w:tcPr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Full run on real branch data: invoice → IRN → E-Way Bill → Tally.</w:t>
            </w:r>
          </w:p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Production credentials swapped in and re-verified after the sandbox passes.</w:t>
            </w:r>
          </w:p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Owner and accounts team trained; a one-page SOP handed over.</w:t>
            </w:r>
          </w:p>
          <w:p>
            <w:pPr>
              <w:keepNext w:val="0"/>
              <w:keepLines w:val="0"/>
              <w:pBdr>
                <w:top w:val="single" w:sz="6" w:space="3" w:color="DFE5EA"/>
              </w:pBdr>
              <w:spacing w:before="40" w:after="0" w:line="254" w:lineRule="auto"/>
            </w:pPr>
            <w:r>
              <w:rPr>
                <w:rFonts w:ascii="Calibri" w:hAnsi="Calibri" w:eastAsia="Calibri" w:cs="Calibri"/>
                <w:b/>
                <w:i w:val="0"/>
                <w:color w:val="1E5C38"/>
                <w:spacing w:val="8"/>
                <w:sz w:val="14"/>
              </w:rPr>
              <w:t>DONE WHEN</w:t>
            </w: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4"/>
              </w:rPr>
              <w:t xml:space="preserve"> — the first real invoice completes the whole chain with zero manual data entry.</w:t>
            </w:r>
          </w:p>
        </w:tc>
        <w:tc>
          <w:tcPr>
            <w:tcW w:type="dxa" w:w="170"/>
          </w:tcPr>
          <w:p/>
        </w:tc>
        <w:tc>
          <w:tcPr>
            <w:tcW w:type="dxa" w:w="5017"/>
            <w:tcBorders>
              <w:left w:val="single" w:sz="6" w:space="0" w:color="E8D9B8"/>
              <w:bottom w:val="single" w:sz="6" w:space="0" w:color="E8D9B8"/>
              <w:right w:val="single" w:sz="6" w:space="0" w:color="E8D9B8"/>
            </w:tcBorders>
            <w:shd w:val="clear" w:color="auto" w:fill="FCF3E0"/>
            <w:tcMar>
              <w:top w:w="68" w:type="dxa"/>
              <w:left w:w="125" w:type="dxa"/>
              <w:bottom w:w="79" w:type="dxa"/>
              <w:right w:w="125" w:type="dxa"/>
            </w:tcMar>
            <w:vAlign w:val="top"/>
          </w:tcPr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/>
                <w:i w:val="0"/>
                <w:color w:val="6B4A0A"/>
                <w:sz w:val="15"/>
              </w:rPr>
              <w:t>Ledger names</w:t>
            </w:r>
            <w:r>
              <w:rPr>
                <w:rFonts w:ascii="Calibri" w:hAnsi="Calibri" w:eastAsia="Calibri" w:cs="Calibri"/>
                <w:b w:val="0"/>
                <w:i w:val="0"/>
                <w:color w:val="6B4A0A"/>
                <w:sz w:val="15"/>
              </w:rPr>
              <w:t xml:space="preserve"> from your TallyPrime company — Chart of Accounts → Ledgers.</w:t>
            </w:r>
          </w:p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/>
                <w:i w:val="0"/>
                <w:color w:val="6B4A0A"/>
                <w:sz w:val="15"/>
              </w:rPr>
              <w:t>GSP sandbox credentials</w:t>
            </w:r>
            <w:r>
              <w:rPr>
                <w:rFonts w:ascii="Calibri" w:hAnsi="Calibri" w:eastAsia="Calibri" w:cs="Calibri"/>
                <w:b w:val="0"/>
                <w:i w:val="0"/>
                <w:color w:val="6B4A0A"/>
                <w:sz w:val="15"/>
              </w:rPr>
              <w:t xml:space="preserve"> and sign-off on the API proposal (4,000 calls/year tier).</w:t>
            </w:r>
          </w:p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/>
                <w:i w:val="0"/>
                <w:color w:val="6B4A0A"/>
                <w:sz w:val="15"/>
              </w:rPr>
              <w:t>Accountant's call</w:t>
            </w:r>
            <w:r>
              <w:rPr>
                <w:rFonts w:ascii="Calibri" w:hAnsi="Calibri" w:eastAsia="Calibri" w:cs="Calibri"/>
                <w:b w:val="0"/>
                <w:i w:val="0"/>
                <w:color w:val="6B4A0A"/>
                <w:sz w:val="15"/>
              </w:rPr>
              <w:t xml:space="preserve"> on the one-paisa CGST/SGST rounding note.</w:t>
            </w:r>
          </w:p>
          <w:p>
            <w:pPr>
              <w:keepNext w:val="0"/>
              <w:keepLines w:val="0"/>
              <w:pBdr>
                <w:top w:val="single" w:sz="6" w:space="3" w:color="E8D9B8"/>
              </w:pBdr>
              <w:spacing w:before="40" w:after="0" w:line="254" w:lineRule="auto"/>
            </w:pPr>
            <w:r>
              <w:rPr>
                <w:rFonts w:ascii="Calibri" w:hAnsi="Calibri" w:eastAsia="Calibri" w:cs="Calibri"/>
                <w:b/>
                <w:i w:val="0"/>
                <w:color w:val="8A5A00"/>
                <w:spacing w:val="8"/>
                <w:sz w:val="14"/>
              </w:rPr>
              <w:t>Note</w:t>
            </w:r>
            <w:r>
              <w:rPr>
                <w:rFonts w:ascii="Calibri" w:hAnsi="Calibri" w:eastAsia="Calibri" w:cs="Calibri"/>
                <w:b w:val="0"/>
                <w:i w:val="0"/>
                <w:color w:val="6B4A0A"/>
                <w:sz w:val="14"/>
              </w:rPr>
              <w:t xml:space="preserve"> — these three items are the only things that can delay Day 1. Everything else is on our side.</w:t>
            </w:r>
          </w:p>
        </w:tc>
      </w:tr>
    </w:tbl>
    <w:p>
      <w:pPr>
        <w:keepNext/>
        <w:keepLines w:val="0"/>
        <w:spacing w:before="120" w:after="70" w:line="240" w:lineRule="auto"/>
      </w:pPr>
      <w:r>
        <w:rPr>
          <w:rFonts w:ascii="Calibri" w:hAnsi="Calibri" w:eastAsia="Calibri" w:cs="Calibri"/>
          <w:b/>
          <w:i w:val="0"/>
          <w:color w:val="1E5C38"/>
          <w:spacing w:val="4"/>
          <w:sz w:val="16"/>
          <w:shd w:val="clear" w:color="auto" w:fill="F5F8FA"/>
        </w:rPr>
        <w:t xml:space="preserve"> 05 </w:t>
      </w:r>
      <w:r>
        <w:rPr>
          <w:rFonts w:ascii="Calibri" w:hAnsi="Calibri" w:eastAsia="Calibri" w:cs="Calibri"/>
          <w:b/>
          <w:i w:val="0"/>
          <w:color w:val="0F2A44"/>
          <w:sz w:val="21"/>
        </w:rPr>
        <w:t xml:space="preserve">  Assumptions, exclusions and cost</w:t>
      </w:r>
    </w:p>
    <w:tbl>
      <w:tblPr>
        <w:tblW w:type="auto" w:w="0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329"/>
        <w:gridCol w:w="227"/>
        <w:gridCol w:w="4649"/>
      </w:tblGrid>
      <w:tr>
        <w:tc>
          <w:tcPr>
            <w:tcW w:type="dxa" w:w="5329"/>
            <w:tcMar>
              <w:top w:w="34" w:type="dxa"/>
              <w:bottom w:w="34" w:type="dxa"/>
              <w:right w:w="113" w:type="dxa"/>
            </w:tcMar>
          </w:tcPr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The CRM stays the only billing source — Tally consumes data; no two-way sync to maintain.</w:t>
            </w:r>
          </w:p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One Tally company on one Windows PC; all three branches are supported from day one.</w:t>
            </w:r>
          </w:p>
          <w:p>
            <w:pPr>
              <w:pStyle w:val="ListBullet"/>
              <w:keepNext w:val="0"/>
              <w:keepLines w:val="0"/>
              <w:spacing w:before="0" w:after="28" w:line="254" w:lineRule="auto"/>
              <w:ind w:left="193" w:hanging="193"/>
            </w:pP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>Import starts file-based (no always-on gateway); the live gateway can be added later.</w:t>
            </w:r>
          </w:p>
          <w:p>
            <w:pPr>
              <w:pStyle w:val="ListBullet"/>
              <w:keepNext w:val="0"/>
              <w:keepLines w:val="0"/>
              <w:spacing w:before="0" w:after="0" w:line="254" w:lineRule="auto"/>
              <w:ind w:left="193" w:hanging="193"/>
            </w:pPr>
            <w:r>
              <w:rPr>
                <w:rFonts w:ascii="Calibri" w:hAnsi="Calibri" w:eastAsia="Calibri" w:cs="Calibri"/>
                <w:b/>
                <w:i w:val="0"/>
                <w:color w:val="12212E"/>
                <w:sz w:val="15"/>
              </w:rPr>
              <w:t>Not in these five days:</w:t>
            </w:r>
            <w:r>
              <w:rPr>
                <w:rFonts w:ascii="Calibri" w:hAnsi="Calibri" w:eastAsia="Calibri" w:cs="Calibri"/>
                <w:b w:val="0"/>
                <w:i w:val="0"/>
                <w:color w:val="5A6B78"/>
                <w:sz w:val="15"/>
              </w:rPr>
              <w:t xml:space="preserve"> purchase and credit-note vouchers, payment allocation splitting, bulk backfill of old invoices.</w:t>
            </w:r>
          </w:p>
        </w:tc>
        <w:tc>
          <w:tcPr>
            <w:tcW w:type="dxa" w:w="227"/>
          </w:tcPr>
          <w:p/>
        </w:tc>
        <w:tc>
          <w:tcPr>
            <w:tcW w:type="dxa" w:w="4649"/>
            <w:tcBorders>
              <w:top w:val="single" w:sz="6" w:space="0" w:color="DFE5EA"/>
              <w:left w:val="single" w:sz="19" w:space="0" w:color="1E5C38"/>
              <w:bottom w:val="single" w:sz="6" w:space="0" w:color="DFE5EA"/>
              <w:right w:val="single" w:sz="6" w:space="0" w:color="DFE5EA"/>
            </w:tcBorders>
            <w:shd w:val="clear" w:color="auto" w:fill="EDF3EC"/>
            <w:tcMar>
              <w:top w:w="102" w:type="dxa"/>
              <w:left w:w="125" w:type="dxa"/>
              <w:bottom w:w="102" w:type="dxa"/>
              <w:right w:w="125" w:type="dxa"/>
            </w:tcMar>
          </w:tcPr>
          <w:p>
            <w:pPr>
              <w:keepNext/>
              <w:keepLines w:val="0"/>
              <w:spacing w:before="0" w:after="50" w:line="252" w:lineRule="auto"/>
            </w:pPr>
            <w:r>
              <w:rPr>
                <w:rFonts w:ascii="Calibri" w:hAnsi="Calibri" w:eastAsia="Calibri" w:cs="Calibri"/>
                <w:b/>
                <w:i w:val="0"/>
                <w:color w:val="1E5C38"/>
                <w:sz w:val="17"/>
              </w:rPr>
              <w:t>Cost — nothing new to buy for Tally</w:t>
            </w:r>
          </w:p>
          <w:tbl>
            <w:tblPr>
              <w:tblW w:type="auto" w:w="0"/>
              <w:tblW w:w="44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ayout w:type="fixed"/>
              <w:tblLook w:firstColumn="1" w:firstRow="1" w:lastColumn="0" w:lastRow="0" w:noHBand="0" w:noVBand="1" w:val="04A0"/>
            </w:tblPr>
            <w:tblGrid>
              <w:gridCol w:w="2727"/>
              <w:gridCol w:w="1672"/>
            </w:tblGrid>
            <w:tr>
              <w:trPr>
                <w:cantSplit/>
              </w:trPr>
              <w:tc>
                <w:tcPr>
                  <w:tcW w:type="dxa" w:w="2727"/>
                  <w:tcBorders>
                    <w:bottom w:val="single" w:sz="6" w:space="0" w:color="DFE5EA"/>
                  </w:tcBorders>
                  <w:tcMar>
                    <w:top w:w="34" w:type="dxa"/>
                    <w:left w:w="0" w:type="dxa"/>
                    <w:bottom w:w="34" w:type="dxa"/>
                    <w:right w:w="0" w:type="dxa"/>
                  </w:tcMar>
                </w:tcPr>
                <w:p>
                  <w:pPr>
                    <w:keepNext w:val="0"/>
                    <w:keepLines w:val="0"/>
                    <w:spacing w:before="0" w:after="0" w:line="252" w:lineRule="auto"/>
                  </w:pPr>
                  <w:r>
                    <w:rPr>
                      <w:rFonts w:ascii="Calibri" w:hAnsi="Calibri" w:eastAsia="Calibri" w:cs="Calibri"/>
                      <w:b w:val="0"/>
                      <w:i w:val="0"/>
                      <w:color w:val="3C5A48"/>
                      <w:sz w:val="14"/>
                    </w:rPr>
                    <w:t>GSP APIs — e-Invoice + E-Way Bill + GSTIN, 4,000 calls/year</w:t>
                  </w:r>
                </w:p>
              </w:tc>
              <w:tc>
                <w:tcPr>
                  <w:tcW w:type="dxa" w:w="1672"/>
                  <w:tcBorders>
                    <w:bottom w:val="single" w:sz="6" w:space="0" w:color="DFE5EA"/>
                  </w:tcBorders>
                  <w:tcMar>
                    <w:top w:w="34" w:type="dxa"/>
                    <w:left w:w="0" w:type="dxa"/>
                    <w:bottom w:w="34" w:type="dxa"/>
                    <w:right w:w="0" w:type="dxa"/>
                  </w:tcMar>
                </w:tcPr>
                <w:p>
                  <w:pPr>
                    <w:keepNext w:val="0"/>
                    <w:keepLines w:val="0"/>
                    <w:spacing w:before="0" w:after="0" w:line="252" w:lineRule="auto"/>
                    <w:jc w:val="right"/>
                  </w:pPr>
                  <w:r>
                    <w:rPr>
                      <w:rFonts w:ascii="Calibri" w:hAnsi="Calibri" w:eastAsia="Calibri" w:cs="Calibri"/>
                      <w:b w:val="0"/>
                      <w:i w:val="0"/>
                      <w:color w:val="1E5C38"/>
                      <w:sz w:val="14"/>
                    </w:rPr>
                    <w:t>₹29,500 / yr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27"/>
                  <w:tcBorders>
                    <w:bottom w:val="single" w:sz="6" w:space="0" w:color="DFE5EA"/>
                  </w:tcBorders>
                  <w:tcMar>
                    <w:top w:w="34" w:type="dxa"/>
                    <w:left w:w="0" w:type="dxa"/>
                    <w:bottom w:w="34" w:type="dxa"/>
                    <w:right w:w="0" w:type="dxa"/>
                  </w:tcMar>
                </w:tcPr>
                <w:p>
                  <w:pPr>
                    <w:keepNext w:val="0"/>
                    <w:keepLines w:val="0"/>
                    <w:spacing w:before="0" w:after="0" w:line="252" w:lineRule="auto"/>
                  </w:pPr>
                  <w:r>
                    <w:rPr>
                      <w:rFonts w:ascii="Calibri" w:hAnsi="Calibri" w:eastAsia="Calibri" w:cs="Calibri"/>
                      <w:b w:val="0"/>
                      <w:i w:val="0"/>
                      <w:color w:val="3C5A48"/>
                      <w:sz w:val="14"/>
                    </w:rPr>
                    <w:t>On-boarding &amp; support</w:t>
                  </w:r>
                </w:p>
              </w:tc>
              <w:tc>
                <w:tcPr>
                  <w:tcW w:type="dxa" w:w="1672"/>
                  <w:tcBorders>
                    <w:bottom w:val="single" w:sz="6" w:space="0" w:color="DFE5EA"/>
                  </w:tcBorders>
                  <w:tcMar>
                    <w:top w:w="34" w:type="dxa"/>
                    <w:left w:w="0" w:type="dxa"/>
                    <w:bottom w:w="34" w:type="dxa"/>
                    <w:right w:w="0" w:type="dxa"/>
                  </w:tcMar>
                </w:tcPr>
                <w:p>
                  <w:pPr>
                    <w:keepNext w:val="0"/>
                    <w:keepLines w:val="0"/>
                    <w:spacing w:before="0" w:after="0" w:line="252" w:lineRule="auto"/>
                    <w:jc w:val="right"/>
                  </w:pPr>
                  <w:r>
                    <w:rPr>
                      <w:rFonts w:ascii="Calibri" w:hAnsi="Calibri" w:eastAsia="Calibri" w:cs="Calibri"/>
                      <w:b w:val="0"/>
                      <w:i w:val="0"/>
                      <w:color w:val="1E5C38"/>
                      <w:sz w:val="14"/>
                    </w:rPr>
                    <w:t>Free (FOC)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27"/>
                  <w:tcBorders>
                    <w:bottom w:val="single" w:sz="6" w:space="0" w:color="DFE5EA"/>
                  </w:tcBorders>
                  <w:tcMar>
                    <w:top w:w="34" w:type="dxa"/>
                    <w:left w:w="0" w:type="dxa"/>
                    <w:bottom w:w="34" w:type="dxa"/>
                    <w:right w:w="0" w:type="dxa"/>
                  </w:tcMar>
                </w:tcPr>
                <w:p>
                  <w:pPr>
                    <w:keepNext w:val="0"/>
                    <w:keepLines w:val="0"/>
                    <w:spacing w:before="0" w:after="0" w:line="252" w:lineRule="auto"/>
                  </w:pPr>
                  <w:r>
                    <w:rPr>
                      <w:rFonts w:ascii="Calibri" w:hAnsi="Calibri" w:eastAsia="Calibri" w:cs="Calibri"/>
                      <w:b w:val="0"/>
                      <w:i w:val="0"/>
                      <w:color w:val="3C5A48"/>
                      <w:sz w:val="14"/>
                    </w:rPr>
                    <w:t>TallyPrime XML import gateway</w:t>
                  </w:r>
                </w:p>
              </w:tc>
              <w:tc>
                <w:tcPr>
                  <w:tcW w:type="dxa" w:w="1672"/>
                  <w:tcBorders>
                    <w:bottom w:val="single" w:sz="6" w:space="0" w:color="DFE5EA"/>
                  </w:tcBorders>
                  <w:tcMar>
                    <w:top w:w="34" w:type="dxa"/>
                    <w:left w:w="0" w:type="dxa"/>
                    <w:bottom w:w="34" w:type="dxa"/>
                    <w:right w:w="0" w:type="dxa"/>
                  </w:tcMar>
                </w:tcPr>
                <w:p>
                  <w:pPr>
                    <w:keepNext w:val="0"/>
                    <w:keepLines w:val="0"/>
                    <w:spacing w:before="0" w:after="0" w:line="252" w:lineRule="auto"/>
                    <w:jc w:val="right"/>
                  </w:pPr>
                  <w:r>
                    <w:rPr>
                      <w:rFonts w:ascii="Calibri" w:hAnsi="Calibri" w:eastAsia="Calibri" w:cs="Calibri"/>
                      <w:b w:val="0"/>
                      <w:i w:val="0"/>
                      <w:color w:val="1E5C38"/>
                      <w:sz w:val="14"/>
                    </w:rPr>
                    <w:t>₹0 — built 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27"/>
                  <w:tcBorders>
                    <w:bottom w:val="single" w:sz="6" w:space="0" w:color="DFE5EA"/>
                  </w:tcBorders>
                  <w:tcMar>
                    <w:top w:w="34" w:type="dxa"/>
                    <w:left w:w="0" w:type="dxa"/>
                    <w:bottom w:w="34" w:type="dxa"/>
                    <w:right w:w="0" w:type="dxa"/>
                  </w:tcMar>
                </w:tcPr>
                <w:p>
                  <w:pPr>
                    <w:keepNext w:val="0"/>
                    <w:keepLines w:val="0"/>
                    <w:spacing w:before="0" w:after="0" w:line="252" w:lineRule="auto"/>
                  </w:pPr>
                  <w:r>
                    <w:rPr>
                      <w:rFonts w:ascii="Calibri" w:hAnsi="Calibri" w:eastAsia="Calibri" w:cs="Calibri"/>
                      <w:b w:val="0"/>
                      <w:i w:val="0"/>
                      <w:color w:val="3C5A48"/>
                      <w:sz w:val="14"/>
                    </w:rPr>
                    <w:t>Hosting</w:t>
                  </w:r>
                </w:p>
              </w:tc>
              <w:tc>
                <w:tcPr>
                  <w:tcW w:type="dxa" w:w="1672"/>
                  <w:tcBorders>
                    <w:bottom w:val="single" w:sz="6" w:space="0" w:color="DFE5EA"/>
                  </w:tcBorders>
                  <w:tcMar>
                    <w:top w:w="34" w:type="dxa"/>
                    <w:left w:w="0" w:type="dxa"/>
                    <w:bottom w:w="34" w:type="dxa"/>
                    <w:right w:w="0" w:type="dxa"/>
                  </w:tcMar>
                </w:tcPr>
                <w:p>
                  <w:pPr>
                    <w:keepNext w:val="0"/>
                    <w:keepLines w:val="0"/>
                    <w:spacing w:before="0" w:after="0" w:line="252" w:lineRule="auto"/>
                    <w:jc w:val="right"/>
                  </w:pPr>
                  <w:r>
                    <w:rPr>
                      <w:rFonts w:ascii="Calibri" w:hAnsi="Calibri" w:eastAsia="Calibri" w:cs="Calibri"/>
                      <w:b w:val="0"/>
                      <w:i w:val="0"/>
                      <w:color w:val="1E5C38"/>
                      <w:sz w:val="14"/>
                    </w:rPr>
                    <w:t>Existing — no change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27"/>
                  <w:tcMar>
                    <w:top w:w="34" w:type="dxa"/>
                    <w:left w:w="0" w:type="dxa"/>
                    <w:bottom w:w="34" w:type="dxa"/>
                    <w:right w:w="0" w:type="dxa"/>
                  </w:tcMar>
                </w:tcPr>
                <w:p>
                  <w:pPr>
                    <w:keepNext w:val="0"/>
                    <w:keepLines w:val="0"/>
                    <w:spacing w:before="0" w:after="0" w:line="252" w:lineRule="auto"/>
                  </w:pPr>
                  <w:r>
                    <w:rPr>
                      <w:rFonts w:ascii="Calibri" w:hAnsi="Calibri" w:eastAsia="Calibri" w:cs="Calibri"/>
                      <w:b/>
                      <w:i w:val="0"/>
                      <w:color w:val="3C5A48"/>
                      <w:sz w:val="14"/>
                    </w:rPr>
                    <w:t>Effective cost per e-invoiced despatch</w:t>
                  </w:r>
                </w:p>
              </w:tc>
              <w:tc>
                <w:tcPr>
                  <w:tcW w:type="dxa" w:w="1672"/>
                  <w:tcMar>
                    <w:top w:w="34" w:type="dxa"/>
                    <w:left w:w="0" w:type="dxa"/>
                    <w:bottom w:w="34" w:type="dxa"/>
                    <w:right w:w="0" w:type="dxa"/>
                  </w:tcMar>
                </w:tcPr>
                <w:p>
                  <w:pPr>
                    <w:keepNext w:val="0"/>
                    <w:keepLines w:val="0"/>
                    <w:spacing w:before="0" w:after="0" w:line="252" w:lineRule="auto"/>
                    <w:jc w:val="right"/>
                  </w:pPr>
                  <w:r>
                    <w:rPr>
                      <w:rFonts w:ascii="Calibri" w:hAnsi="Calibri" w:eastAsia="Calibri" w:cs="Calibri"/>
                      <w:b/>
                      <w:i w:val="0"/>
                      <w:color w:val="1E5C38"/>
                      <w:sz w:val="14"/>
                    </w:rPr>
                    <w:t>≈ ₹14.75</w:t>
                  </w:r>
                </w:p>
              </w:tc>
            </w:tr>
          </w:tbl>
          <w:p/>
          <w:p>
            <w:pPr>
              <w:keepNext w:val="0"/>
              <w:keepLines w:val="0"/>
              <w:spacing w:before="60" w:after="0"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3C5A48"/>
                <w:sz w:val="13"/>
              </w:rPr>
              <w:t>An invoice that needs an E-Way Bill uses two calls (one IRN, one E-Way Bill), so the 4,000-call tier covers roughly 2,000 despatches a year.</w:t>
            </w:r>
          </w:p>
        </w:tc>
      </w:tr>
    </w:tbl>
    <w:p>
      <w:pPr>
        <w:keepNext w:val="0"/>
        <w:keepLines w:val="0"/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color w:val="1E293B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tabs>
        <w:tab w:pos="10205" w:val="right"/>
      </w:tabs>
      <w:spacing w:before="0" w:after="0" w:line="240" w:lineRule="auto"/>
    </w:pPr>
    <w:r>
      <w:rPr>
        <w:rFonts w:ascii="Calibri" w:hAnsi="Calibri" w:eastAsia="Calibri" w:cs="Calibri"/>
        <w:b w:val="0"/>
        <w:i w:val="0"/>
        <w:color w:val="94A3B8"/>
        <w:sz w:val="14"/>
      </w:rPr>
      <w:t>Prokon CRM · API Integration &amp; Tally Export · v1.0</w:t>
    </w:r>
    <w:r>
      <w:rPr>
        <w:rFonts w:ascii="Calibri" w:hAnsi="Calibri" w:eastAsia="Calibri" w:cs="Calibri"/>
        <w:b w:val="0"/>
        <w:i w:val="0"/>
        <w:color w:val="94A3B8"/>
        <w:sz w:val="14"/>
      </w:rPr>
      <w:tab/>
      <w:t xml:space="preserve">Page </w:t>
    </w:r>
    <w:r>
      <w:rPr>
        <w:rFonts w:ascii="Calibri" w:hAnsi="Calibri" w:eastAsia="Calibri" w:cs="Calibri"/>
        <w:b w:val="0"/>
        <w:i w:val="0"/>
        <w:color w:val="94A3B8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pBdr>
        <w:bottom w:val="single" w:sz="4" w:space="2" w:color="DFE5EA"/>
      </w:pBdr>
      <w:spacing w:before="0" w:after="0" w:line="240" w:lineRule="auto"/>
      <w:jc w:val="right"/>
    </w:pPr>
    <w:r>
      <w:rPr>
        <w:rFonts w:ascii="Calibri" w:hAnsi="Calibri" w:eastAsia="Calibri" w:cs="Calibri"/>
        <w:b w:val="0"/>
        <w:i/>
        <w:color w:val="94A3B8"/>
        <w:sz w:val="14"/>
      </w:rPr>
      <w:t>Prokon CRM · API Integration &amp; Tally Export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 w:before="0"/>
    </w:pPr>
    <w:rPr>
      <w:rFonts w:ascii="Calibri" w:hAnsi="Calibri" w:eastAsia="Calibri" w:cs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52" w:lineRule="auto" w:before="0"/>
    </w:pPr>
    <w:rPr>
      <w:rFonts w:ascii="Calibri" w:hAnsi="Calibri"/>
      <w:color w:val="94A3B8"/>
      <w:sz w:val="1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52" w:lineRule="auto" w:before="0"/>
    </w:pPr>
    <w:rPr>
      <w:rFonts w:ascii="Calibri" w:hAnsi="Calibri"/>
      <w:color w:val="94A3B8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52" w:lineRule="auto" w:after="0" w:before="0"/>
      <w:contextualSpacing/>
    </w:pPr>
    <w:rPr>
      <w:rFonts w:ascii="Calibri" w:hAnsi="Calibri"/>
      <w:color w:val="94A3B8"/>
      <w:sz w:val="15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Integration &amp; Tally Export</dc:title>
  <dc:subject>Prokon CRM — e-Invoicing (IRN + E-Way Bill) and Tally export proposal</dc:subject>
  <dc:creator>Prokon CRM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