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563EB"/>
          <w:sz w:val="44"/>
        </w:rPr>
        <w:t>Prokon ERP - Bug Fix Report</w:t>
      </w:r>
    </w:p>
    <w:p>
      <w:pPr>
        <w:jc w:val="center"/>
      </w:pPr>
      <w:r>
        <w:rPr>
          <w:i/>
          <w:color w:val="475569"/>
          <w:sz w:val="22"/>
        </w:rPr>
        <w:t>Hardening of Finance, Stock, Time, Security &amp; Document flows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1F5FD"/>
          </w:tcPr>
          <w:p>
            <w:r/>
            <w:r>
              <w:rPr>
                <w:rFonts w:ascii="Calibri" w:hAnsi="Calibri"/>
                <w:b/>
                <w:color w:val="2563EB"/>
                <w:sz w:val="22"/>
              </w:rPr>
              <w:t>Total Bugs Documented:  28</w:t>
            </w:r>
          </w:p>
        </w:tc>
        <w:tc>
          <w:tcPr>
            <w:tcW w:type="dxa" w:w="4968"/>
            <w:shd w:val="clear" w:color="auto" w:fill="F1F5FD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2563EB"/>
                <w:sz w:val="22"/>
              </w:rPr>
              <w:t>Report Date:  27 August 2026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val="clear" w:color="auto" w:fill="2563E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2563E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Bug Description</w:t>
            </w:r>
          </w:p>
        </w:tc>
        <w:tc>
          <w:tcPr>
            <w:tcW w:type="dxa" w:w="2736"/>
            <w:shd w:val="clear" w:color="auto" w:fill="2563E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File(s) Affected</w:t>
            </w:r>
          </w:p>
        </w:tc>
        <w:tc>
          <w:tcPr>
            <w:tcW w:type="dxa" w:w="3024"/>
            <w:shd w:val="clear" w:color="auto" w:fill="2563E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Fix Applied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B-01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 delivery challan that errors mid-conversion still stays 'unbilled', so it can be invoiced a second time - the customer gets two invoices for one delivery.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Challan to Invoice conversion logic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Mark challan 'Converted' only after the invoice and its items are safely saved; surface the intermediate error instead of swallowing it.</w:t>
            </w:r>
          </w:p>
        </w:tc>
      </w:tr>
      <w:tr>
        <w:tc>
          <w:tcPr>
            <w:tcW w:type="dxa" w:w="720"/>
            <w:shd w:val="clear" w:color="auto" w:fill="F1F5F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B-02</w:t>
            </w:r>
          </w:p>
        </w:tc>
        <w:tc>
          <w:tcPr>
            <w:tcW w:type="dxa" w:w="4320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Double-clicking 'Convert' (quote to order to challan to invoice) silently creates duplicate sales orders/invoices that look normal.</w:t>
            </w:r>
          </w:p>
        </w:tc>
        <w:tc>
          <w:tcPr>
            <w:tcW w:type="dxa" w:w="2736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Document conversion actions</w:t>
            </w:r>
          </w:p>
        </w:tc>
        <w:tc>
          <w:tcPr>
            <w:tcW w:type="dxa" w:w="3024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Disable the convert button during save and add a 'done' marker to every conversion step so a retry cannot recreate it.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B-03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The header discount is never split into saved line items, so the invoice taxable total and the item-wise sum disagree - GST filings do not reconcile.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Invoice header / line-item tax calc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Apportion the header discount into each line item (paise-exact) before saving taxable values; GST charged post-discount.</w:t>
            </w:r>
          </w:p>
        </w:tc>
      </w:tr>
      <w:tr>
        <w:tc>
          <w:tcPr>
            <w:tcW w:type="dxa" w:w="720"/>
            <w:shd w:val="clear" w:color="auto" w:fill="F1F5F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B-04</w:t>
            </w:r>
          </w:p>
        </w:tc>
        <w:tc>
          <w:tcPr>
            <w:tcW w:type="dxa" w:w="4320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Quotations decide tax type from the state name while invoices use the GSTIN code, so a quote shows CGST+SGST but the invoice charges IGST for the same deal.</w:t>
            </w:r>
          </w:p>
        </w:tc>
        <w:tc>
          <w:tcPr>
            <w:tcW w:type="dxa" w:w="2736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Quote &amp; Invoice GST engines</w:t>
            </w:r>
          </w:p>
        </w:tc>
        <w:tc>
          <w:tcPr>
            <w:tcW w:type="dxa" w:w="3024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Use one intra/inter-state rule via GSTIN (isIntraSupply) in both quote and invoice engines.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B-05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 payment can be allocated across more dues than it covers, and concurrent entries can apply the same money twice.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Payment allocation service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Cap each allocation to the invoice's remaining balance and revalidate inside a single server transaction.</w:t>
            </w:r>
          </w:p>
        </w:tc>
      </w:tr>
      <w:tr>
        <w:tc>
          <w:tcPr>
            <w:tcW w:type="dxa" w:w="720"/>
            <w:shd w:val="clear" w:color="auto" w:fill="F1F5F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B-06</w:t>
            </w:r>
          </w:p>
        </w:tc>
        <w:tc>
          <w:tcPr>
            <w:tcW w:type="dxa" w:w="4320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Overselling is only blocked on the screen; any authenticated user could POST an invoice with allow_negative_stock and sell stock that does not exist.</w:t>
            </w:r>
          </w:p>
        </w:tc>
        <w:tc>
          <w:tcPr>
            <w:tcW w:type="dxa" w:w="2736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supabase/migrations/20260823100000_bugfix_hardening.sql</w:t>
            </w:r>
          </w:p>
        </w:tc>
        <w:tc>
          <w:tcPr>
            <w:tcW w:type="dxa" w:w="3024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DB trigger assert_negative_stock_admin() enforces allow_negative_stock as admin-only at the database level (invoices + both challan tables).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B-07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Before issuing a serial to a ticket/invoice the system does not re-check it is still free, so two warranties can point at one physical machine.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issueStockToTicket / serial issue flow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Claim the serial first and refuse already-issued serials with a guarded update before assigning.</w:t>
            </w:r>
          </w:p>
        </w:tc>
      </w:tr>
      <w:tr>
        <w:tc>
          <w:tcPr>
            <w:tcW w:type="dxa" w:w="720"/>
            <w:shd w:val="clear" w:color="auto" w:fill="F1F5F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B-08</w:t>
            </w:r>
          </w:p>
        </w:tc>
        <w:tc>
          <w:tcPr>
            <w:tcW w:type="dxa" w:w="4320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A goods-received note already marked 'Submitted' (already added to stock) can be reopened and re-saved, inflating stock counts.</w:t>
            </w:r>
          </w:p>
        </w:tc>
        <w:tc>
          <w:tcPr>
            <w:tcW w:type="dxa" w:w="2736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GRN form + DB policies</w:t>
            </w:r>
          </w:p>
        </w:tc>
        <w:tc>
          <w:tcPr>
            <w:tcW w:type="dxa" w:w="3024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Block GRN edits once status is Submitted; allow changes only via the admin reverse flow (client + DB).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B-09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 blank or garbage GRN quantity quietly becomes 1 unit instead of stopping you - you receive 0 but stock goes up by 1.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GRN quantity validation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Treat empty/NaN quantity as invalid and block saving until corrected.</w:t>
            </w:r>
          </w:p>
        </w:tc>
      </w:tr>
      <w:tr>
        <w:tc>
          <w:tcPr>
            <w:tcW w:type="dxa" w:w="720"/>
            <w:shd w:val="clear" w:color="auto" w:fill="F1F5F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B-10</w:t>
            </w:r>
          </w:p>
        </w:tc>
        <w:tc>
          <w:tcPr>
            <w:tcW w:type="dxa" w:w="4320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A fractional quantity on a serial-tracked line slips through (e.g. 2.5 units with 2 serials), so records and physical units mismatch.</w:t>
            </w:r>
          </w:p>
        </w:tc>
        <w:tc>
          <w:tcPr>
            <w:tcW w:type="dxa" w:w="2736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Invoice line-item validation</w:t>
            </w:r>
          </w:p>
        </w:tc>
        <w:tc>
          <w:tcPr>
            <w:tcW w:type="dxa" w:w="3024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Require whole-number quantity on serialized lines and match the serial count exactly.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B-11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List pages stop fetching past ~1,000 rows with no error - challans/GRNs/IMS records exist in the DB but silently disappear from view.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Challan / GRN / IMS list pages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Use the existing paged fetch (or server-side pagination) for large lists.</w:t>
            </w:r>
          </w:p>
        </w:tc>
      </w:tr>
      <w:tr>
        <w:tc>
          <w:tcPr>
            <w:tcW w:type="dxa" w:w="720"/>
            <w:shd w:val="clear" w:color="auto" w:fill="F1F5F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B-12</w:t>
            </w:r>
          </w:p>
        </w:tc>
        <w:tc>
          <w:tcPr>
            <w:tcW w:type="dxa" w:w="4320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Documents created between midnight and 5:30 AM get yesterday's date because 'today' is computed in UTC, not Indian time.</w:t>
            </w:r>
          </w:p>
        </w:tc>
        <w:tc>
          <w:tcPr>
            <w:tcW w:type="dxa" w:w="2736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Date helpers (istTodayIso / localDateIso)</w:t>
            </w:r>
          </w:p>
        </w:tc>
        <w:tc>
          <w:tcPr>
            <w:tcW w:type="dxa" w:w="3024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 UTC-based dates with IST helpers across ~30 call sites so invoices/POs/payments/indents use Asia/Kolkata.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B-13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AMC contracts ending 'today' can show as already expired (or still active) depending on the UTC hour.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AMC expiry logic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Compare contract dates using IST strings instead of UTC midnight.</w:t>
            </w:r>
          </w:p>
        </w:tc>
      </w:tr>
      <w:tr>
        <w:tc>
          <w:tcPr>
            <w:tcW w:type="dxa" w:w="720"/>
            <w:shd w:val="clear" w:color="auto" w:fill="F1F5F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B-14</w:t>
            </w:r>
          </w:p>
        </w:tc>
        <w:tc>
          <w:tcPr>
            <w:tcW w:type="dxa" w:w="4320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Returnable challans are flagged 'overdue' about 5.5 hours early, triggering premature follow-ups.</w:t>
            </w:r>
          </w:p>
        </w:tc>
        <w:tc>
          <w:tcPr>
            <w:tcW w:type="dxa" w:w="2736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Returnable overdue check</w:t>
            </w:r>
          </w:p>
        </w:tc>
        <w:tc>
          <w:tcPr>
            <w:tcW w:type="dxa" w:w="3024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Evaluate overdue using IST date terms, not a UTC timestamp.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B-15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Ticket SLA/response timers use the device timezone, so field staff abroad and HQ see different 'truths'.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Ticket SLA computation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Pin all SLA computations to IST.</w:t>
            </w:r>
          </w:p>
        </w:tc>
      </w:tr>
      <w:tr>
        <w:tc>
          <w:tcPr>
            <w:tcW w:type="dxa" w:w="720"/>
            <w:shd w:val="clear" w:color="auto" w:fill="F1F5F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B-16</w:t>
            </w:r>
          </w:p>
        </w:tc>
        <w:tc>
          <w:tcPr>
            <w:tcW w:type="dxa" w:w="4320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Several steps hide their failures (invoice/GDC forms, writers, ticket log, deletes) so users see 'Success!' while nothing was saved.</w:t>
            </w:r>
          </w:p>
        </w:tc>
        <w:tc>
          <w:tcPr>
            <w:tcW w:type="dxa" w:w="2736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Invoice/GDC forms, writers, ticket log, deletes</w:t>
            </w:r>
          </w:p>
        </w:tc>
        <w:tc>
          <w:tcPr>
            <w:tcW w:type="dxa" w:w="3024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Remove silent catches; surface the error to the user and retry or roll back instead of swallowing it.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B-17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Fire-and-forget actions (logout tracking, deletes) can fail with no message, leaving gaps in audit trails.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Logout / delete handlers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Await these calls and report failure instead of ignoring it.</w:t>
            </w:r>
          </w:p>
        </w:tc>
      </w:tr>
      <w:tr>
        <w:tc>
          <w:tcPr>
            <w:tcW w:type="dxa" w:w="720"/>
            <w:shd w:val="clear" w:color="auto" w:fill="F1F5F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B-18</w:t>
            </w:r>
          </w:p>
        </w:tc>
        <w:tc>
          <w:tcPr>
            <w:tcW w:type="dxa" w:w="4320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Admin status was sometimes just a browser label, so sensitive actions (payroll corrections, GRN delete, stock reverse) could be reachable by non-admins.</w:t>
            </w:r>
          </w:p>
        </w:tc>
        <w:tc>
          <w:tcPr>
            <w:tcW w:type="dxa" w:w="2736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RLS policies + SECURITY DEFINER RPCs</w:t>
            </w:r>
          </w:p>
        </w:tc>
        <w:tc>
          <w:tcPr>
            <w:tcW w:type="dxa" w:w="3024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Enforce admin/role checks in database policies; payroll/GRN-delete/challan-delete paths already admin-gated (residual verified).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B-19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The first person to click 'Claim Admin' could self-promote without real verification; the check could race.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supabase/migrations/20260823100000_bugfix_hardening.sql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guard_first_admin_claim() takes an advisory xact lock and re-checks before allowing the bootstrap admin claim.</w:t>
            </w:r>
          </w:p>
        </w:tc>
      </w:tr>
      <w:tr>
        <w:tc>
          <w:tcPr>
            <w:tcW w:type="dxa" w:w="720"/>
            <w:shd w:val="clear" w:color="auto" w:fill="F1F5F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B-20</w:t>
            </w:r>
          </w:p>
        </w:tc>
        <w:tc>
          <w:tcPr>
            <w:tcW w:type="dxa" w:w="4320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Approving a stock transfer does not check its current status, so a double-click or two admins can approve it twice.</w:t>
            </w:r>
          </w:p>
        </w:tc>
        <w:tc>
          <w:tcPr>
            <w:tcW w:type="dxa" w:w="2736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Transfer approval flow</w:t>
            </w:r>
          </w:p>
        </w:tc>
        <w:tc>
          <w:tcPr>
            <w:tcW w:type="dxa" w:w="3024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Update only if the current status matches the expected value (conditional update).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B-21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 delayed autosave in indents can land after the record was already changed again, clobbering the latest work.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Indent autosave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Guard in-flight saves with a version/abort token so stale writes cancel.</w:t>
            </w:r>
          </w:p>
        </w:tc>
      </w:tr>
      <w:tr>
        <w:tc>
          <w:tcPr>
            <w:tcW w:type="dxa" w:w="720"/>
            <w:shd w:val="clear" w:color="auto" w:fill="F1F5F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B-22</w:t>
            </w:r>
          </w:p>
        </w:tc>
        <w:tc>
          <w:tcPr>
            <w:tcW w:type="dxa" w:w="4320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Printing labels twice can fail to increment the printed count, so you can't tell what was actually printed.</w:t>
            </w:r>
          </w:p>
        </w:tc>
        <w:tc>
          <w:tcPr>
            <w:tcW w:type="dxa" w:w="2736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Print-count updater</w:t>
            </w:r>
          </w:p>
        </w:tc>
        <w:tc>
          <w:tcPr>
            <w:tcW w:type="dxa" w:w="3024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Use an atomic 'add 1' update with error handling.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B-23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Salary/advance math is complex and was never automatically tested, so a logic slip can silently pay the wrong amount to everyone.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Payroll salary math + paired writes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Added automated tests for salary math; wrapped paired writes (attendance+audit, payment+advance) in transactions with compensating rollback.</w:t>
            </w:r>
          </w:p>
        </w:tc>
      </w:tr>
      <w:tr>
        <w:tc>
          <w:tcPr>
            <w:tcW w:type="dxa" w:w="720"/>
            <w:shd w:val="clear" w:color="auto" w:fill="F1F5F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B-24</w:t>
            </w:r>
          </w:p>
        </w:tc>
        <w:tc>
          <w:tcPr>
            <w:tcW w:type="dxa" w:w="4320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Undoing attendance deletes records and updates an audit flag in two steps; if the second fails, payroll changes lose their audit trail.</w:t>
            </w:r>
          </w:p>
        </w:tc>
        <w:tc>
          <w:tcPr>
            <w:tcW w:type="dxa" w:w="2736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Attendance correction flow</w:t>
            </w:r>
          </w:p>
        </w:tc>
        <w:tc>
          <w:tcPr>
            <w:tcW w:type="dxa" w:w="3024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Ensure the audit update completes with, or rolls back alongside, the delete.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B-25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Only the first conversion step (Quote to SO) was protected against duplicates; SO to Challan and to Invoice were not, desyncing statuses.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Conversion chain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Add a 'converted' marker to every conversion step, not just the first.</w:t>
            </w:r>
          </w:p>
        </w:tc>
      </w:tr>
      <w:tr>
        <w:tc>
          <w:tcPr>
            <w:tcW w:type="dxa" w:w="720"/>
            <w:shd w:val="clear" w:color="auto" w:fill="F1F5F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B-26</w:t>
            </w:r>
          </w:p>
        </w:tc>
        <w:tc>
          <w:tcPr>
            <w:tcW w:type="dxa" w:w="4320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The print/PDF view recomputes GST totals instead of reading stored values, so what the customer receives can differ from what's on file.</w:t>
            </w:r>
          </w:p>
        </w:tc>
        <w:tc>
          <w:tcPr>
            <w:tcW w:type="dxa" w:w="2736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Invoice print / PDF view</w:t>
            </w:r>
          </w:p>
        </w:tc>
        <w:tc>
          <w:tcPr>
            <w:tcW w:type="dxa" w:w="3024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Print from the stored breakdown values, not by recalculating.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B-27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Selected branch no longer exists - resolveHeader threw on a missing branch/warehouse instead of falling back to the company profile.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src/lib/documentHeader.ts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Make resolveHeader fall back to the company profile when the selected branch/warehouse no longer exists instead of throwing.</w:t>
            </w:r>
          </w:p>
        </w:tc>
      </w:tr>
      <w:tr>
        <w:tc>
          <w:tcPr>
            <w:tcW w:type="dxa" w:w="720"/>
            <w:shd w:val="clear" w:color="auto" w:fill="F1F5F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18"/>
              </w:rPr>
              <w:t>B-28</w:t>
            </w:r>
          </w:p>
        </w:tc>
        <w:tc>
          <w:tcPr>
            <w:tcW w:type="dxa" w:w="4320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Company Master incomplete: Company Master record not found - fetchCompanyProfile threw on a DB error, leaving the AMC company state null.</w:t>
            </w:r>
          </w:p>
        </w:tc>
        <w:tc>
          <w:tcPr>
            <w:tcW w:type="dxa" w:w="2736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color w:val="475569"/>
                <w:sz w:val="16"/>
              </w:rPr>
              <w:t>src/lib/companyProfile.ts</w:t>
            </w:r>
          </w:p>
        </w:tc>
        <w:tc>
          <w:tcPr>
            <w:tcW w:type="dxa" w:w="3024"/>
            <w:shd w:val="clear" w:color="auto" w:fill="F1F5FD"/>
          </w:tcPr>
          <w:p>
            <w:r/>
            <w:r>
              <w:rPr>
                <w:rFonts w:ascii="Calibri" w:hAnsi="Calibri"/>
                <w:b w:val="0"/>
                <w:sz w:val="18"/>
              </w:rPr>
              <w:t>Harden fetchCompanyProfile to handle DB errors gracefully so the AMC company state is always populated, not left null.</w:t>
            </w:r>
          </w:p>
        </w:tc>
      </w:tr>
    </w:tbl>
    <w:p>
      <w:pPr>
        <w:pBdr>
          <w:bottom w:val="single" w:sz="6" w:space="2" w:color="2563EB"/>
        </w:pBdr>
      </w:pPr>
      <w:r>
        <w:rPr>
          <w:rFonts w:ascii="Calibri" w:hAnsi="Calibri"/>
          <w:b/>
          <w:color w:val="2563EB"/>
          <w:sz w:val="26"/>
        </w:rPr>
        <w:t>Finance &amp; Billing</w:t>
      </w:r>
    </w:p>
    <w:p>
      <w:pPr>
        <w:pBdr>
          <w:bottom w:val="single" w:sz="6" w:space="2" w:color="2563EB"/>
        </w:pBdr>
      </w:pPr>
      <w:r>
        <w:rPr>
          <w:rFonts w:ascii="Calibri" w:hAnsi="Calibri"/>
          <w:b/>
          <w:color w:val="2563EB"/>
          <w:sz w:val="26"/>
        </w:rPr>
        <w:t>Stock &amp; Inventory</w:t>
      </w:r>
    </w:p>
    <w:p>
      <w:pPr>
        <w:pBdr>
          <w:bottom w:val="single" w:sz="6" w:space="2" w:color="2563EB"/>
        </w:pBdr>
      </w:pPr>
      <w:r>
        <w:rPr>
          <w:rFonts w:ascii="Calibri" w:hAnsi="Calibri"/>
          <w:b/>
          <w:color w:val="2563EB"/>
          <w:sz w:val="26"/>
        </w:rPr>
        <w:t>Dates &amp; Time (IST)</w:t>
      </w:r>
    </w:p>
    <w:p>
      <w:pPr>
        <w:pBdr>
          <w:bottom w:val="single" w:sz="6" w:space="2" w:color="2563EB"/>
        </w:pBdr>
      </w:pPr>
      <w:r>
        <w:rPr>
          <w:rFonts w:ascii="Calibri" w:hAnsi="Calibri"/>
          <w:b/>
          <w:color w:val="2563EB"/>
          <w:sz w:val="26"/>
        </w:rPr>
        <w:t>Silent Failures</w:t>
      </w:r>
    </w:p>
    <w:p>
      <w:pPr>
        <w:pBdr>
          <w:bottom w:val="single" w:sz="6" w:space="2" w:color="2563EB"/>
        </w:pBdr>
      </w:pPr>
      <w:r>
        <w:rPr>
          <w:rFonts w:ascii="Calibri" w:hAnsi="Calibri"/>
          <w:b/>
          <w:color w:val="2563EB"/>
          <w:sz w:val="26"/>
        </w:rPr>
        <w:t>Admin &amp; Security</w:t>
      </w:r>
    </w:p>
    <w:p>
      <w:pPr>
        <w:pBdr>
          <w:bottom w:val="single" w:sz="6" w:space="2" w:color="2563EB"/>
        </w:pBdr>
      </w:pPr>
      <w:r>
        <w:rPr>
          <w:rFonts w:ascii="Calibri" w:hAnsi="Calibri"/>
          <w:b/>
          <w:color w:val="2563EB"/>
          <w:sz w:val="26"/>
        </w:rPr>
        <w:t>Races &amp; Concurrency</w:t>
      </w:r>
    </w:p>
    <w:p>
      <w:pPr>
        <w:pBdr>
          <w:bottom w:val="single" w:sz="6" w:space="2" w:color="2563EB"/>
        </w:pBdr>
      </w:pPr>
      <w:r>
        <w:rPr>
          <w:rFonts w:ascii="Calibri" w:hAnsi="Calibri"/>
          <w:b/>
          <w:color w:val="2563EB"/>
          <w:sz w:val="26"/>
        </w:rPr>
        <w:t>Payroll</w:t>
      </w:r>
    </w:p>
    <w:p>
      <w:pPr>
        <w:pBdr>
          <w:bottom w:val="single" w:sz="6" w:space="2" w:color="2563EB"/>
        </w:pBdr>
      </w:pPr>
      <w:r>
        <w:rPr>
          <w:rFonts w:ascii="Calibri" w:hAnsi="Calibri"/>
          <w:b/>
          <w:color w:val="2563EB"/>
          <w:sz w:val="26"/>
        </w:rPr>
        <w:t>CRM / Document Conversion</w:t>
      </w:r>
    </w:p>
    <w:p>
      <w:pPr>
        <w:pBdr>
          <w:bottom w:val="single" w:sz="6" w:space="2" w:color="2563EB"/>
        </w:pBdr>
      </w:pPr>
      <w:r>
        <w:rPr>
          <w:rFonts w:ascii="Calibri" w:hAnsi="Calibri"/>
          <w:b/>
          <w:color w:val="2563EB"/>
          <w:sz w:val="26"/>
        </w:rPr>
        <w:t>Print / PDF</w:t>
      </w:r>
    </w:p>
    <w:p>
      <w:pPr>
        <w:pBdr>
          <w:bottom w:val="single" w:sz="6" w:space="2" w:color="2563EB"/>
        </w:pBdr>
      </w:pPr>
      <w:r>
        <w:rPr>
          <w:rFonts w:ascii="Calibri" w:hAnsi="Calibri"/>
          <w:b/>
          <w:color w:val="2563EB"/>
          <w:sz w:val="26"/>
        </w:rPr>
        <w:t>Document Header &amp; Company Profile (final fixes)</w:t>
      </w:r>
    </w:p>
    <w:p/>
    <w:p>
      <w:r>
        <w:rPr>
          <w:i/>
          <w:color w:val="475569"/>
          <w:sz w:val="16"/>
        </w:rPr>
        <w:t>Source: BUG_REPORT.md (B-01-B-26, code-review leads) and final hardening commits (resolveHeader / fetchCompanyProfile). Items B-01-B-26 were addressed in the money/stock/time hardening pass; B-06, B-18, B-19 and related sweep items were enforced at the database level via supabase migration 20260823100000_bugfix_hardening.sql.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