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PROKON ERP · EXECUTIVE BRIEF · Companion to Full Proposal v2.0</w:t>
      </w:r>
    </w:p>
    <w:p>
      <w:pPr>
        <w:pBdr>
          <w:bottom w:val="single" w:color="1F3864" w:sz="10" w:space="8"/>
        </w:pBdr>
        <w:spacing w:after="120"/>
        <w:jc w:val="center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Government e-Invoicing + Tally Accounting Export</w:t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Decision summary for management approval · 25 August 2026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 · The situation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Legal mandate now: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above ₹5 crore turnover, every B2B invoice must carry a government-issued IRN number and an official signed QR code. An invoice without them counts as "never issued" — penalties from ₹10,000 per bill, and large buyers refuse payment until they receive a compliant invoice.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Today's gap: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our ERP's "Generate IRN" button is a placeholder — no real government registration happens.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Double work: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our accountant re-types every invoice and receipt into Tally ERP 9 each month — hours lost, avoidable errors, books lag reality.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Good news: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the ERP's tax engine, GSTIN handling and PDF generation are already built and GST-ready. Only the final connections are missing.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 · What we propose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Workstream</w:t>
            </w:r>
          </w:p>
        </w:tc>
        <w:tc>
          <w:tcPr>
            <w:tcW w:type="pct" w:w="66%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delivers</w:t>
            </w:r>
          </w:p>
        </w:tc>
      </w:tr>
      <w:t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A — Real e-invoices via a licensed GSP partner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One click sends the invoice through a GSTN-authorised bridge company (ClearTax / IRIS / MasterGST class) to the government. Returns the IRN, acknowledgement and signed QR — printed automatically on the PDF. e-Way Bills come later through the same partner.</w:t>
            </w:r>
          </w:p>
        </w:tc>
      </w:tr>
      <w:t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B — One-click Tally export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Month-end: pick a date range, download two files, email to the accountant. They import into Tally in about five minutes — all sales and receipts, zero re-typing, duplicates impossible by design.</w:t>
            </w:r>
          </w:p>
        </w:tc>
      </w:tr>
    </w:tbl>
    <w:p>
      <w:pPr>
        <w:spacing w:after="70" w:before="17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 · At a glance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pct" w:w="82%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Cost</w:t>
            </w:r>
          </w:p>
        </w:tc>
        <w:tc>
          <w:tcPr>
            <w:tcW w:type="pct" w:w="8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≈ ₹8,000–₹20,000/year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 one GSP subscription — nothing else. No servers, no audits, no IP registrations</w:t>
            </w:r>
          </w:p>
        </w:tc>
      </w:tr>
      <w:tr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Build time</w:t>
            </w:r>
          </w:p>
        </w:tc>
        <w:tc>
          <w:tcPr>
            <w:tcW w:type="pct" w:w="8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~2–3 weeks (partner signup runs in parallel)</w:t>
            </w:r>
          </w:p>
        </w:tc>
      </w:tr>
      <w:tr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Compliance</w:t>
            </w:r>
          </w:p>
        </w:tc>
        <w:tc>
          <w:tcPr>
            <w:tcW w:type="pct" w:w="8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Mandatory for us — this removes the penalty exposure entirely</w:t>
            </w:r>
          </w:p>
        </w:tc>
      </w:tr>
      <w:tr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Risk</w:t>
            </w:r>
          </w:p>
        </w:tc>
        <w:tc>
          <w:tcPr>
            <w:tcW w:type="pct" w:w="8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Lowest of all available routes — SLA-backed uptime, security certifications and government spec changes are the partner's contractual duties</w:t>
            </w:r>
          </w:p>
        </w:tc>
      </w:tr>
    </w:tbl>
    <w:p>
      <w:pPr>
        <w:spacing w:after="0"/>
      </w:pPr>
      <w:r>
        <w:br w:type="page"/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 · Daily life after go-live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Sales raises invoices exactly as today, clicks "Generate IRN" — ten seconds later the PDF carries the government QR. Send.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If the pipeline has a bad day: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the invoice waits as "Pending", retries happen automatically, anything printed says </w:t>
      </w:r>
      <w:r>
        <w:rPr>
          <w:rFonts w:ascii="Calibri" w:cs="Calibri" w:eastAsia="Calibri" w:hAnsi="Calibri"/>
          <w:i/>
          <w:iCs/>
          <w:color w:val="111111"/>
          <w:sz w:val="20"/>
          <w:szCs w:val="20"/>
        </w:rPr>
        <w:t xml:space="preserve">PROFORMA — NOT A TAX INVOICE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, and issuing is blocked until the IRN arrives — so an invalid document can never reach a customer. A manual web-portal fallback keeps dispatch legal even during long outages.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Month-end: export → email two small files → accountant imports → books match the ERP exactly.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Wrong invoice? Cancellation is allowed by law only within 24 hours — the system enforces that window automatically.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 · The money — three routes compared honestly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pct" w:w="56%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Real year-1 picture</w:t>
            </w:r>
          </w:p>
        </w:tc>
        <w:tc>
          <w:tcPr>
            <w:tcW w:type="pct" w:w="22%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★ GSP partner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₹8–20k/yr subscription; days of engineering upkeep; risks sit with the partner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Direct government integration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"Free" licence, but adds a server (₹6–10k/yr), weeks of engineering, permanent maintenance — plus an uncertain ₹1.5–4 lakh security certification if demanded. Only wins beyond ~40,000 invoices/year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Declined for now — revisit only at high volume</w:t>
            </w:r>
          </w:p>
        </w:tc>
      </w:tr>
      <w:t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Manual JSON uploads (free)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₹0 using the government's own bulk-upload tool, but a person runs batches weekly forever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Kept as built-in emergency backup only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Full cost workings, risk register and the two design-review rounds that shaped these conclusions are in the accompanying proposal (§11–§13).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 · Built-in safeguards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Watermark + issue-block until an IRN exists — zero non-compliant invoices dispatched, enforced by software not memory.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Automatic retries with escalation alerts at day 7 and day 21 — far inside every statutory limit.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Master-data validation before submission (GSTINs, HSN codes, invoice-number format) and duplicate-proof Tally exports.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Complete local audit log of every request/response; no vendor lock-in — swapping partner or route is a settings change, not a rebuild.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 · Timeline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 1</w:t>
            </w:r>
          </w:p>
        </w:tc>
        <w:tc>
          <w:tcPr>
            <w:tcW w:type="pct" w:w="25%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 2</w:t>
            </w:r>
          </w:p>
        </w:tc>
        <w:tc>
          <w:tcPr>
            <w:tcW w:type="pct" w:w="25%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Weeks 2–3 (parallel)</w:t>
            </w:r>
          </w:p>
        </w:tc>
        <w:tc>
          <w:tcPr>
            <w:tcW w:type="pct" w:w="25%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 3+</w:t>
            </w:r>
          </w:p>
        </w:tc>
      </w:tr>
      <w:tr>
        <w:tc>
          <w:tcPr>
            <w:tcW w:type="pct" w:w="25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Partner chosen &amp; subscribed · portal registration + MFA · database &amp; payload builder</w:t>
            </w:r>
          </w:p>
        </w:tc>
        <w:tc>
          <w:tcPr>
            <w:tcW w:type="pct" w:w="25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GSP connection live in sandbox · invoice screen, alerts, watermarked fallback, QR-stamped PDF</w:t>
            </w:r>
          </w:p>
        </w:tc>
        <w:tc>
          <w:tcPr>
            <w:tcW w:type="pct" w:w="25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Tally export module + pre-flight report + accountant guide</w:t>
            </w:r>
          </w:p>
        </w:tc>
        <w:tc>
          <w:tcPr>
            <w:tcW w:type="pct" w:w="25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Pilot on a handful of real invoices → full rollout → optional e-Way Bills</w:t>
            </w:r>
          </w:p>
        </w:tc>
      </w:tr>
    </w:tbl>
    <w:p>
      <w:pPr>
        <w:spacing w:after="100"/>
      </w:pPr>
    </w:p>
    <w:p>
      <w:pPr>
        <w:pBdr>
          <w:left w:val="single" w:color="B45F06" w:sz="16" w:space="6"/>
        </w:pBdr>
        <w:shd w:fill="FFF7E6" w:val="clear"/>
        <w:spacing w:after="90"/>
        <w:ind w:left="200" w:right="200"/>
      </w:pPr>
      <w:r>
        <w:rPr>
          <w:rFonts w:ascii="Calibri" w:cs="Calibri" w:eastAsia="Calibri" w:hAnsi="Calibri"/>
          <w:b/>
          <w:bCs/>
          <w:color w:val="B45F06"/>
          <w:sz w:val="20"/>
          <w:szCs w:val="20"/>
        </w:rPr>
        <w:t xml:space="preserve">Decision requested: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(1) approve the GSP subscription, (2) director completes the 30-minute portal registrations listed in §7 of the full proposal, (3) green-light Phase 0 this week. Everything else proceeds in parallel.</w:t>
      </w:r>
    </w:p>
    <w:sectPr>
      <w:footerReference w:type="default" r:id="rId7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Prokon ERP · e-Invoicing &amp; Tally Export — 2-page brief · 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5"/>
        <w:szCs w:val="15"/>
      </w:rPr>
      <w:t xml:space="preserve"> of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2026-08-25T09:36:36.045Z</dcterms:created>
  <dcterms:modified xsi:type="dcterms:W3CDTF">2026-08-25T09:36:36.045Z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