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EC7EB" w14:textId="77777777" w:rsidR="00854672" w:rsidRDefault="00000000">
      <w:pPr>
        <w:pStyle w:val="NormalWeb"/>
        <w:spacing w:before="0"/>
        <w:ind w:firstLine="4820"/>
        <w:jc w:val="both"/>
      </w:pPr>
      <w:r>
        <w:t xml:space="preserve">C.E: Letra {{CE_LETRA}} Nro. {{CE_NUMERO}} </w:t>
      </w:r>
    </w:p>
    <w:p w14:paraId="1C985AA4" w14:textId="77777777" w:rsidR="00854672" w:rsidRDefault="00000000">
      <w:pPr>
        <w:ind w:right="49" w:firstLine="114"/>
        <w:rPr>
          <w:b/>
          <w:bCs/>
          <w:color w:val="000000"/>
        </w:rPr>
      </w:pPr>
      <w:r>
        <w:rPr>
          <w:b/>
          <w:bCs/>
          <w:color w:val="000000"/>
        </w:rPr>
        <w:t>AL DIRECTOR DEL COLEGIO MILITAR DE LA NACIÓN</w:t>
      </w:r>
    </w:p>
    <w:p w14:paraId="1BD9F802" w14:textId="77777777" w:rsidR="00854672" w:rsidRDefault="00854672">
      <w:pPr>
        <w:ind w:right="49" w:firstLine="1674"/>
        <w:jc w:val="both"/>
        <w:rPr>
          <w:b/>
          <w:bCs/>
          <w:color w:val="000000"/>
        </w:rPr>
      </w:pPr>
    </w:p>
    <w:p w14:paraId="140C2192" w14:textId="77777777" w:rsidR="00854672" w:rsidRDefault="00000000">
      <w:pPr>
        <w:ind w:firstLine="1134"/>
        <w:jc w:val="both"/>
      </w:pPr>
      <w:r>
        <w:t>Elevo a usted el presente expediente labrado de conformidad a lo determinado en la Resolución JEMGE Nro. 2346/15 y el Artículo 12 del Decreto Nro. 2666/12, con motivo de la {{TIPO_NOVEDAD}} de {{DESCRIPCION_EFECTO}}, NNE: {{NNE_EFECTO}}, de dotación de este Instituto</w:t>
      </w:r>
    </w:p>
    <w:p w14:paraId="3070A466" w14:textId="77777777" w:rsidR="00854672" w:rsidRDefault="00854672">
      <w:pPr>
        <w:jc w:val="center"/>
        <w:rPr>
          <w:b/>
          <w:bCs/>
        </w:rPr>
      </w:pPr>
    </w:p>
    <w:p w14:paraId="6C5FA608" w14:textId="77777777" w:rsidR="00854672" w:rsidRDefault="00000000">
      <w:pPr>
        <w:jc w:val="center"/>
        <w:rPr>
          <w:b/>
          <w:bCs/>
        </w:rPr>
      </w:pPr>
      <w:r>
        <w:rPr>
          <w:b/>
          <w:bCs/>
        </w:rPr>
        <w:t>-I-</w:t>
      </w:r>
    </w:p>
    <w:p w14:paraId="2C717DF7" w14:textId="77777777" w:rsidR="00854672" w:rsidRDefault="00854672">
      <w:pPr>
        <w:jc w:val="center"/>
        <w:rPr>
          <w:b/>
          <w:bCs/>
        </w:rPr>
      </w:pPr>
    </w:p>
    <w:p w14:paraId="18FA265A" w14:textId="77777777" w:rsidR="00854672" w:rsidRDefault="00000000">
      <w:pPr>
        <w:jc w:val="center"/>
        <w:rPr>
          <w:b/>
          <w:color w:val="000000"/>
          <w:lang w:val="es-ES_tradnl"/>
        </w:rPr>
      </w:pPr>
      <w:r>
        <w:rPr>
          <w:b/>
          <w:color w:val="000000"/>
          <w:lang w:val="es-ES_tradnl"/>
        </w:rPr>
        <w:t>ANTECEDENTES</w:t>
      </w:r>
    </w:p>
    <w:p w14:paraId="4F9E1852" w14:textId="77777777" w:rsidR="00854672" w:rsidRDefault="00854672">
      <w:pPr>
        <w:ind w:left="1276" w:hanging="1276"/>
        <w:jc w:val="center"/>
        <w:rPr>
          <w:b/>
          <w:bCs/>
          <w:color w:val="000000"/>
          <w:lang w:val="es-ES_tradnl"/>
        </w:rPr>
      </w:pPr>
    </w:p>
    <w:p w14:paraId="7F17E285" w14:textId="77777777" w:rsidR="00854672" w:rsidRDefault="00000000">
      <w:pPr>
        <w:ind w:firstLine="1440"/>
        <w:jc w:val="both"/>
      </w:pPr>
      <w:r>
        <w:t xml:space="preserve">De la verificación de la documentación obrante en el presente expediente, se observa agregado a Nro. de Orden {{NORDEN_DOCUMENTAL}}, mediante {{ID_GDE_DOCUMENTAL}}, la solicitud efectuada por {{SOLICITANTE_CARGO}} al {{AUTORIDAD_DESTINATARIA}} del Instituto. </w:t>
      </w:r>
    </w:p>
    <w:p w14:paraId="5259F543" w14:textId="77777777" w:rsidR="00854672" w:rsidRDefault="00854672">
      <w:pPr>
        <w:ind w:firstLine="1440"/>
        <w:jc w:val="both"/>
      </w:pPr>
    </w:p>
    <w:p w14:paraId="6022E960" w14:textId="77777777" w:rsidR="00854672" w:rsidRDefault="00000000">
      <w:pPr>
        <w:ind w:firstLine="1440"/>
        <w:jc w:val="both"/>
      </w:pPr>
      <w:r>
        <w:t xml:space="preserve">Seguidamente, a Nro. de Orden {{NORDEN_DICTAMEN}} se expidió esta Instancia de Asesoramiento mediante el dictado del Dictamen Jurídico Nro. {{NRO_DICTAMEN}} y posteriormente, a Nro. de Orden {{NORDEN_ACTO_ADM}} se encuentra el Acto Administrativo que dispone en su Artículo 1°: </w:t>
      </w:r>
      <w:r>
        <w:rPr>
          <w:i/>
          <w:iCs/>
        </w:rPr>
        <w:t>{{RESUMEN_ACTO_ADM}}</w:t>
      </w:r>
    </w:p>
    <w:p w14:paraId="365FE024" w14:textId="77777777" w:rsidR="00854672" w:rsidRDefault="00854672">
      <w:pPr>
        <w:jc w:val="both"/>
      </w:pPr>
    </w:p>
    <w:p w14:paraId="17269DDF" w14:textId="77777777" w:rsidR="00854672" w:rsidRDefault="00000000">
      <w:pPr>
        <w:ind w:firstLine="1440"/>
        <w:jc w:val="both"/>
      </w:pPr>
      <w:r>
        <w:t>Así las cosas, el Oficial Informante incorporó a Nro. de Orden {{NORDEN_DECLARACION}} el Documento de Firma conjunta que contiene la Declaración Testimonial del/la {{TESTIGO_GRADO_APELLIDO}}, quien al momento del hecho se desempeñaba como {{TESTIGO_CARGO_EN_HECHO}}</w:t>
      </w:r>
    </w:p>
    <w:p w14:paraId="3F8330DB" w14:textId="77777777" w:rsidR="00854672" w:rsidRDefault="00854672">
      <w:pPr>
        <w:pStyle w:val="Textoindependiente"/>
        <w:ind w:firstLine="1440"/>
        <w:rPr>
          <w:rFonts w:ascii="Times New Roman" w:hAnsi="Times New Roman" w:cs="Times New Roman"/>
          <w:szCs w:val="24"/>
        </w:rPr>
      </w:pPr>
    </w:p>
    <w:p w14:paraId="26F607EB" w14:textId="77777777" w:rsidR="00854672" w:rsidRDefault="00000000">
      <w:pPr>
        <w:pStyle w:val="Sinespaciado"/>
        <w:ind w:firstLine="1418"/>
        <w:jc w:val="both"/>
      </w:pPr>
      <w:r>
        <w:rPr>
          <w:rFonts w:eastAsia="MS Mincho;MS Gothic"/>
        </w:rPr>
        <w:t xml:space="preserve">En este sentido, dicho Suboficial Subalterno declaró, que: </w:t>
      </w:r>
      <w:r>
        <w:rPr>
          <w:rFonts w:eastAsia="MS Mincho;MS Gothic"/>
          <w:i/>
          <w:iCs/>
        </w:rPr>
        <w:t>“{{RESUMEN_DECLARACION_TESTIGO}}</w:t>
      </w:r>
      <w:r>
        <w:rPr>
          <w:rFonts w:eastAsia="MS Mincho;MS Gothic"/>
          <w:i/>
          <w:iCs/>
          <w:lang w:val="es-AR"/>
        </w:rPr>
        <w:t>_________________</w:t>
      </w:r>
    </w:p>
    <w:p w14:paraId="479A8B5A" w14:textId="77777777" w:rsidR="00854672" w:rsidRDefault="00000000">
      <w:pPr>
        <w:pStyle w:val="Sinespaciado"/>
        <w:ind w:firstLine="1418"/>
        <w:jc w:val="both"/>
        <w:rPr>
          <w:rFonts w:eastAsia="MS Mincho;MS Gothic"/>
          <w:i/>
          <w:iCs/>
          <w:lang w:val="es-AR"/>
        </w:rPr>
      </w:pPr>
      <w:r>
        <w:rPr>
          <w:rFonts w:eastAsia="MS Mincho;MS Gothic"/>
          <w:i/>
          <w:iCs/>
        </w:rPr>
        <w:t>”.</w:t>
      </w:r>
    </w:p>
    <w:p w14:paraId="0EE0D264" w14:textId="77777777" w:rsidR="00854672" w:rsidRDefault="00000000">
      <w:pPr>
        <w:pStyle w:val="Sinespaciado"/>
        <w:ind w:firstLine="1418"/>
        <w:jc w:val="both"/>
      </w:pPr>
      <w:r>
        <w:rPr>
          <w:rFonts w:eastAsia="MS Mincho;MS Gothic"/>
        </w:rPr>
        <w:t xml:space="preserve">Seguidamente manifiesta respecto </w:t>
      </w:r>
      <w:r>
        <w:rPr>
          <w:rFonts w:eastAsia="MS Mincho;MS Gothic"/>
          <w:lang w:val="es-AR"/>
        </w:rPr>
        <w:t>sobre, si tiene conocimiento si hay más testigos del hecho, que:</w:t>
      </w:r>
      <w:r>
        <w:rPr>
          <w:rFonts w:eastAsia="MS Mincho;MS Gothic"/>
          <w:b/>
          <w:bCs/>
          <w:i/>
          <w:iCs/>
          <w:lang w:val="es-AR"/>
        </w:rPr>
        <w:t xml:space="preserve"> “</w:t>
      </w:r>
      <w:r>
        <w:rPr>
          <w:rFonts w:eastAsia="MS Mincho;MS Gothic"/>
          <w:i/>
          <w:iCs/>
          <w:lang w:val="es-AR"/>
        </w:rPr>
        <w:t>Si hay más testigos, pero ya no recuerdo el nombre de ninguno”.</w:t>
      </w:r>
    </w:p>
    <w:p w14:paraId="61F3FFDF" w14:textId="77777777" w:rsidR="00854672" w:rsidRDefault="00854672">
      <w:pPr>
        <w:pStyle w:val="Sinespaciado"/>
        <w:ind w:firstLine="1418"/>
        <w:jc w:val="both"/>
        <w:rPr>
          <w:rFonts w:eastAsia="MS Mincho;MS Gothic"/>
          <w:i/>
          <w:iCs/>
          <w:lang w:val="es-AR"/>
        </w:rPr>
      </w:pPr>
    </w:p>
    <w:p w14:paraId="68ABFB08" w14:textId="77777777" w:rsidR="00854672" w:rsidRDefault="00000000">
      <w:pPr>
        <w:pStyle w:val="Sinespaciado"/>
        <w:ind w:firstLine="1418"/>
        <w:jc w:val="both"/>
      </w:pPr>
      <w:r>
        <w:t xml:space="preserve">En el mismo orden, se observa incorporado a Nro. de Orden {{NORDEN_DOCUMENTACION}} ({{ID_GDE_DOCUMENTACION}}), </w:t>
      </w:r>
      <w:r>
        <w:rPr>
          <w:lang w:val="es-AR"/>
        </w:rPr>
        <w:t>{{LISTADO_DOCUMENTACION}}.</w:t>
      </w:r>
    </w:p>
    <w:p w14:paraId="28CA46C3" w14:textId="77777777" w:rsidR="00854672" w:rsidRDefault="00854672">
      <w:pPr>
        <w:tabs>
          <w:tab w:val="left" w:pos="1440"/>
        </w:tabs>
        <w:ind w:firstLine="1134"/>
        <w:jc w:val="both"/>
        <w:rPr>
          <w:color w:val="000000"/>
        </w:rPr>
      </w:pPr>
    </w:p>
    <w:p w14:paraId="73096D0B" w14:textId="77777777" w:rsidR="00854672" w:rsidRDefault="00854672">
      <w:pPr>
        <w:tabs>
          <w:tab w:val="left" w:pos="1440"/>
        </w:tabs>
        <w:ind w:firstLine="1134"/>
        <w:jc w:val="both"/>
        <w:rPr>
          <w:rFonts w:eastAsia="MS Mincho;MS Gothic"/>
          <w:color w:val="000000"/>
        </w:rPr>
      </w:pPr>
    </w:p>
    <w:p w14:paraId="4BA946C4" w14:textId="77777777" w:rsidR="00854672" w:rsidRDefault="00000000">
      <w:pPr>
        <w:tabs>
          <w:tab w:val="left" w:pos="1440"/>
        </w:tabs>
        <w:ind w:firstLine="1134"/>
        <w:jc w:val="both"/>
        <w:rPr>
          <w:rFonts w:eastAsia="MS Mincho;MS Gothic"/>
        </w:rPr>
      </w:pPr>
      <w:r>
        <w:rPr>
          <w:rFonts w:eastAsia="MS Mincho;MS Gothic"/>
          <w:color w:val="000000"/>
        </w:rPr>
        <w:t>Finalmente, a Nro. de Orden {{NORDEN_JUSTIPRECIO}} ({{ID_GDE_JUSTIPRECIO}}) se incorpora el respectivo justiprecio de {{DESCRIPCION_EFECTO}} por un valor de reposición de {{VALOR_REPOSICION_LITERAL}} ($ {{VALOR_REPOSICION_NUMERICO}}).</w:t>
      </w:r>
    </w:p>
    <w:p w14:paraId="380CAC23" w14:textId="77777777" w:rsidR="00854672" w:rsidRDefault="00854672">
      <w:pPr>
        <w:tabs>
          <w:tab w:val="left" w:pos="1440"/>
        </w:tabs>
        <w:ind w:firstLine="1134"/>
        <w:jc w:val="both"/>
        <w:rPr>
          <w:rFonts w:eastAsia="MS Mincho;MS Gothic"/>
        </w:rPr>
      </w:pPr>
    </w:p>
    <w:p w14:paraId="593499DF" w14:textId="77777777" w:rsidR="00854672" w:rsidRDefault="00854672">
      <w:pPr>
        <w:rPr>
          <w:rFonts w:eastAsia="MS Mincho;MS Gothic"/>
        </w:rPr>
      </w:pPr>
    </w:p>
    <w:p w14:paraId="51FFF413" w14:textId="77777777" w:rsidR="00854672" w:rsidRDefault="00000000">
      <w:pPr>
        <w:jc w:val="center"/>
        <w:rPr>
          <w:b/>
          <w:bCs/>
        </w:rPr>
      </w:pPr>
      <w:r>
        <w:rPr>
          <w:b/>
          <w:bCs/>
        </w:rPr>
        <w:t>-II-</w:t>
      </w:r>
    </w:p>
    <w:p w14:paraId="6343649A" w14:textId="77777777" w:rsidR="00854672" w:rsidRDefault="00854672">
      <w:pPr>
        <w:ind w:firstLine="1134"/>
        <w:jc w:val="both"/>
        <w:rPr>
          <w:b/>
          <w:bCs/>
        </w:rPr>
      </w:pPr>
    </w:p>
    <w:p w14:paraId="2B7750C6" w14:textId="77777777" w:rsidR="00854672" w:rsidRDefault="00000000">
      <w:pPr>
        <w:spacing w:line="276" w:lineRule="auto"/>
        <w:jc w:val="center"/>
        <w:rPr>
          <w:b/>
        </w:rPr>
      </w:pPr>
      <w:r>
        <w:rPr>
          <w:b/>
        </w:rPr>
        <w:lastRenderedPageBreak/>
        <w:t>ANÁLISIS DE LA PRUEBA</w:t>
      </w:r>
    </w:p>
    <w:p w14:paraId="1B6273D4" w14:textId="77777777" w:rsidR="00854672" w:rsidRDefault="00854672">
      <w:pPr>
        <w:ind w:firstLine="1134"/>
        <w:jc w:val="both"/>
        <w:rPr>
          <w:b/>
        </w:rPr>
      </w:pPr>
    </w:p>
    <w:p w14:paraId="2B0252D3" w14:textId="77777777" w:rsidR="00854672" w:rsidRDefault="00000000">
      <w:pPr>
        <w:pStyle w:val="Prrafodelista2"/>
        <w:tabs>
          <w:tab w:val="left" w:pos="1418"/>
        </w:tabs>
        <w:ind w:left="0" w:right="12" w:firstLine="1134"/>
        <w:jc w:val="both"/>
        <w:rPr>
          <w:color w:val="000000"/>
        </w:rPr>
      </w:pPr>
      <w:r>
        <w:rPr>
          <w:color w:val="000000"/>
        </w:rPr>
        <w:t>Ahora bien, reseñados los principales antecedentes del presente expediente, en este punto, nos avocaremos a la tarea de analizar las declaraciones efectuadas por los testigos y presuntos infractores, a los fines de esclarecer los hechos suscitados</w:t>
      </w:r>
    </w:p>
    <w:p w14:paraId="13303515" w14:textId="77777777" w:rsidR="00854672" w:rsidRDefault="00854672">
      <w:pPr>
        <w:pStyle w:val="Prrafodelista2"/>
        <w:tabs>
          <w:tab w:val="left" w:pos="1418"/>
        </w:tabs>
        <w:ind w:left="0" w:right="12" w:firstLine="1134"/>
        <w:jc w:val="both"/>
        <w:rPr>
          <w:color w:val="000000"/>
        </w:rPr>
      </w:pPr>
    </w:p>
    <w:p w14:paraId="3B712498" w14:textId="77777777" w:rsidR="00854672" w:rsidRDefault="00000000">
      <w:pPr>
        <w:pStyle w:val="Prrafodelista"/>
        <w:ind w:left="0" w:firstLine="1134"/>
        <w:jc w:val="both"/>
      </w:pPr>
      <w:r>
        <w:rPr>
          <w:color w:val="000000"/>
          <w:lang w:val="es-ES_tradnl"/>
        </w:rPr>
        <w:t>En primer lugar, en virtud de la prueba incorporada, se desprende la prosecución de los siguientes hechos:</w:t>
      </w:r>
    </w:p>
    <w:p w14:paraId="7E95BD5F" w14:textId="77777777" w:rsidR="00854672" w:rsidRDefault="00854672">
      <w:pPr>
        <w:ind w:right="12"/>
        <w:jc w:val="both"/>
        <w:rPr>
          <w:b/>
          <w:color w:val="000000"/>
          <w:lang w:val="es-ES_tradnl"/>
        </w:rPr>
      </w:pPr>
    </w:p>
    <w:p w14:paraId="518EE3C4" w14:textId="77777777" w:rsidR="00854672" w:rsidRDefault="00000000">
      <w:pPr>
        <w:spacing w:after="120"/>
        <w:ind w:firstLine="1134"/>
        <w:jc w:val="both"/>
        <w:rPr>
          <w:color w:val="000000"/>
          <w:lang w:val="es-AR"/>
        </w:rPr>
      </w:pPr>
      <w:r>
        <w:rPr>
          <w:color w:val="000000"/>
          <w:lang w:val="es-AR"/>
        </w:rPr>
        <w:t>{{SINTESIS_HECHOS_PROBADOS}}</w:t>
      </w:r>
    </w:p>
    <w:p w14:paraId="71C4B296" w14:textId="77777777" w:rsidR="00854672" w:rsidRDefault="00854672">
      <w:pPr>
        <w:spacing w:line="276" w:lineRule="auto"/>
        <w:rPr>
          <w:b/>
          <w:bCs/>
          <w:color w:val="000000"/>
          <w:lang w:val="es-AR"/>
        </w:rPr>
      </w:pPr>
    </w:p>
    <w:p w14:paraId="22042346" w14:textId="77777777" w:rsidR="00854672" w:rsidRDefault="00000000">
      <w:pPr>
        <w:spacing w:line="276" w:lineRule="auto"/>
        <w:jc w:val="center"/>
        <w:rPr>
          <w:b/>
          <w:bCs/>
        </w:rPr>
      </w:pPr>
      <w:r>
        <w:rPr>
          <w:b/>
          <w:bCs/>
        </w:rPr>
        <w:t>-III-</w:t>
      </w:r>
    </w:p>
    <w:p w14:paraId="13C9F4CC" w14:textId="77777777" w:rsidR="00854672" w:rsidRDefault="00000000">
      <w:pPr>
        <w:spacing w:line="276" w:lineRule="auto"/>
        <w:jc w:val="center"/>
        <w:rPr>
          <w:b/>
          <w:bCs/>
        </w:rPr>
      </w:pPr>
      <w:r>
        <w:rPr>
          <w:b/>
        </w:rPr>
        <w:t>ANÁLISIS JURÍDICO</w:t>
      </w:r>
    </w:p>
    <w:p w14:paraId="45C0EAB6" w14:textId="77777777" w:rsidR="00854672" w:rsidRDefault="00854672">
      <w:pPr>
        <w:tabs>
          <w:tab w:val="left" w:pos="1440"/>
        </w:tabs>
        <w:jc w:val="both"/>
        <w:rPr>
          <w:b/>
          <w:bCs/>
          <w:color w:val="000000"/>
          <w:lang w:eastAsia="es-AR"/>
        </w:rPr>
      </w:pPr>
    </w:p>
    <w:p w14:paraId="14F90F3A" w14:textId="77777777" w:rsidR="00854672" w:rsidRDefault="00000000">
      <w:pPr>
        <w:tabs>
          <w:tab w:val="left" w:pos="1440"/>
        </w:tabs>
        <w:ind w:firstLine="1260"/>
        <w:jc w:val="both"/>
        <w:rPr>
          <w:rFonts w:eastAsia="MS Mincho;MS Gothic"/>
        </w:rPr>
      </w:pPr>
      <w:r>
        <w:rPr>
          <w:color w:val="000000"/>
          <w:lang w:eastAsia="es-AR"/>
        </w:rPr>
        <w:t>Ahora bien, el Subdirector del Colegio Militar de la Nación ordenó la Instrucción de la presente Actuación Administrativa contenida en el Art. 12 del Decreto Reglamentario Nro. 2666/12 según se encuentra estipulado en la Resolución JEMGE Nro. 2346/15 referente al trámite que deberá adoptarse ante la pérdida, inutilización o deterioro de Bienes del Estado.</w:t>
      </w:r>
    </w:p>
    <w:p w14:paraId="31C9E602" w14:textId="77777777" w:rsidR="00854672" w:rsidRDefault="00854672">
      <w:pPr>
        <w:tabs>
          <w:tab w:val="left" w:pos="1440"/>
        </w:tabs>
        <w:jc w:val="both"/>
        <w:rPr>
          <w:rFonts w:eastAsia="MS Mincho;MS Gothic"/>
          <w:color w:val="000000"/>
          <w:lang w:eastAsia="es-AR"/>
        </w:rPr>
      </w:pPr>
    </w:p>
    <w:p w14:paraId="2989AE93" w14:textId="77777777" w:rsidR="00854672" w:rsidRDefault="00000000">
      <w:pPr>
        <w:tabs>
          <w:tab w:val="left" w:pos="1440"/>
        </w:tabs>
        <w:ind w:firstLine="1260"/>
        <w:jc w:val="both"/>
        <w:rPr>
          <w:color w:val="000000"/>
          <w:lang w:eastAsia="es-AR"/>
        </w:rPr>
      </w:pPr>
      <w:r>
        <w:rPr>
          <w:color w:val="000000"/>
          <w:lang w:eastAsia="es-AR"/>
        </w:rPr>
        <w:t>La mencionada Resolución detalla en su Art. 1 que: “Ante la perdida, inutilización o deterioro de bienes del Estado deberán instruirse actuaciones administrativas en los términos del artículo 12 de la Reglamentación del Anexo IV de la Ley Nro. 26.394, aprobada por el Decreto Nro. 2666/12 a fin de determinar desde el punto de vista patrimonial la existencia de eventual responsabilidad pecuniaria sobre el hecho.</w:t>
      </w:r>
    </w:p>
    <w:p w14:paraId="21FAFAB2" w14:textId="77777777" w:rsidR="00854672" w:rsidRDefault="00854672">
      <w:pPr>
        <w:tabs>
          <w:tab w:val="left" w:pos="1440"/>
        </w:tabs>
        <w:ind w:firstLine="1260"/>
        <w:jc w:val="both"/>
        <w:rPr>
          <w:color w:val="000000"/>
          <w:lang w:eastAsia="es-AR"/>
        </w:rPr>
      </w:pPr>
    </w:p>
    <w:p w14:paraId="34704878" w14:textId="77777777" w:rsidR="00854672" w:rsidRDefault="00000000">
      <w:pPr>
        <w:tabs>
          <w:tab w:val="left" w:pos="1440"/>
        </w:tabs>
        <w:ind w:firstLine="1260"/>
        <w:jc w:val="both"/>
        <w:rPr>
          <w:color w:val="000000"/>
          <w:lang w:eastAsia="es-AR"/>
        </w:rPr>
      </w:pPr>
      <w:r>
        <w:rPr>
          <w:color w:val="000000"/>
          <w:lang w:eastAsia="es-AR"/>
        </w:rPr>
        <w:t xml:space="preserve">En caso de que de las conclusiones de dichas actuaciones no surja existencia de responsabilidad patrimonial atribuida a personal alguno, serán resueltas, respecto de esa materia, dependiendo del monto del valor de los efectos, de acuerdo con las facultades asignadas para cada autoridad militar…”, del mismo modo, el Art. 3 de la mencionada Resolución establece que: </w:t>
      </w:r>
      <w:r>
        <w:rPr>
          <w:i/>
          <w:iCs/>
          <w:color w:val="000000"/>
          <w:lang w:eastAsia="es-AR"/>
        </w:rPr>
        <w:t>“Con carácter previo a la resolución de la actuación administrativa, deberá tomar intervención la instancia jurídica adscripta a cada autoridad con competencia para resolver, emitiendo el pertinente dictamen…”</w:t>
      </w:r>
    </w:p>
    <w:p w14:paraId="5298FA36" w14:textId="77777777" w:rsidR="00854672" w:rsidRDefault="00854672">
      <w:pPr>
        <w:tabs>
          <w:tab w:val="left" w:pos="1440"/>
        </w:tabs>
        <w:ind w:firstLine="1260"/>
        <w:jc w:val="both"/>
        <w:rPr>
          <w:color w:val="000000"/>
          <w:lang w:eastAsia="es-AR"/>
        </w:rPr>
      </w:pPr>
    </w:p>
    <w:p w14:paraId="51C3C28E" w14:textId="77777777" w:rsidR="00854672" w:rsidRDefault="00000000">
      <w:pPr>
        <w:tabs>
          <w:tab w:val="left" w:pos="1440"/>
        </w:tabs>
        <w:ind w:firstLine="1260"/>
        <w:jc w:val="both"/>
      </w:pPr>
      <w:r>
        <w:rPr>
          <w:color w:val="000000"/>
          <w:lang w:eastAsia="es-AR"/>
        </w:rPr>
        <w:t xml:space="preserve">Asimismo, es importante señalar que el Art. 5 de la referida norma, señala que: </w:t>
      </w:r>
      <w:r>
        <w:rPr>
          <w:i/>
          <w:iCs/>
          <w:color w:val="000000"/>
          <w:lang w:eastAsia="es-AR"/>
        </w:rPr>
        <w:t>“Una vez determinadas las responsabilidades precitadas y sin perjuicio de las sanciones correspondientes se intimara por medio fehaciente a los responsables a que abonen la sumas que se le reclamen como consecuencia de hecho dañoso, bajo apercibimiento de las acciones judiciales pertinentes…”</w:t>
      </w:r>
    </w:p>
    <w:p w14:paraId="5E0BB2BA" w14:textId="77777777" w:rsidR="00854672" w:rsidRDefault="00854672">
      <w:pPr>
        <w:tabs>
          <w:tab w:val="left" w:pos="1440"/>
        </w:tabs>
        <w:ind w:firstLine="1260"/>
        <w:jc w:val="both"/>
        <w:rPr>
          <w:i/>
          <w:iCs/>
          <w:color w:val="000000"/>
          <w:lang w:eastAsia="es-AR"/>
        </w:rPr>
      </w:pPr>
    </w:p>
    <w:p w14:paraId="01D46E0E" w14:textId="77777777" w:rsidR="00854672" w:rsidRDefault="00000000">
      <w:pPr>
        <w:tabs>
          <w:tab w:val="left" w:pos="1440"/>
        </w:tabs>
        <w:ind w:firstLine="1260"/>
        <w:jc w:val="both"/>
        <w:rPr>
          <w:color w:val="000000"/>
          <w:lang w:eastAsia="es-AR"/>
        </w:rPr>
      </w:pPr>
      <w:r>
        <w:rPr>
          <w:color w:val="000000"/>
          <w:lang w:eastAsia="es-AR"/>
        </w:rPr>
        <w:t>{{ANALISIS_RESPONSABILIDAD_DISCIPLINARIA}}</w:t>
      </w:r>
    </w:p>
    <w:p w14:paraId="4D8EB274" w14:textId="77777777" w:rsidR="00854672" w:rsidRDefault="00854672">
      <w:pPr>
        <w:tabs>
          <w:tab w:val="left" w:pos="1440"/>
        </w:tabs>
        <w:ind w:firstLine="1260"/>
        <w:jc w:val="both"/>
        <w:rPr>
          <w:color w:val="000000"/>
          <w:lang w:eastAsia="es-AR"/>
        </w:rPr>
      </w:pPr>
    </w:p>
    <w:p w14:paraId="7660DBCA" w14:textId="77777777" w:rsidR="00854672" w:rsidRDefault="00000000">
      <w:pPr>
        <w:tabs>
          <w:tab w:val="left" w:pos="1440"/>
        </w:tabs>
        <w:ind w:firstLine="1260"/>
        <w:jc w:val="both"/>
        <w:rPr>
          <w:color w:val="000000"/>
          <w:lang w:eastAsia="es-AR"/>
        </w:rPr>
      </w:pPr>
      <w:r>
        <w:rPr>
          <w:color w:val="000000"/>
          <w:lang w:eastAsia="es-AR"/>
        </w:rPr>
        <w:t>Dicho lo anterior, corresponde determinar si en el caso sub-examine existió responsabilidad de índole patrimonial.</w:t>
      </w:r>
    </w:p>
    <w:p w14:paraId="7CDCC871" w14:textId="77777777" w:rsidR="00854672" w:rsidRDefault="00854672">
      <w:pPr>
        <w:tabs>
          <w:tab w:val="left" w:pos="1440"/>
        </w:tabs>
        <w:ind w:firstLine="1260"/>
        <w:jc w:val="both"/>
        <w:rPr>
          <w:color w:val="000000"/>
          <w:lang w:eastAsia="es-AR"/>
        </w:rPr>
      </w:pPr>
    </w:p>
    <w:p w14:paraId="3D02A531" w14:textId="77777777" w:rsidR="00854672" w:rsidRDefault="00000000">
      <w:pPr>
        <w:tabs>
          <w:tab w:val="left" w:pos="1440"/>
        </w:tabs>
        <w:ind w:firstLine="1260"/>
        <w:jc w:val="both"/>
      </w:pPr>
      <w:r>
        <w:rPr>
          <w:color w:val="000000"/>
          <w:lang w:eastAsia="es-AR"/>
        </w:rPr>
        <w:t xml:space="preserve">En tal sentido, la ley 24.156 de Administración Financiera establece en su artículo 130: </w:t>
      </w:r>
      <w:r>
        <w:rPr>
          <w:i/>
          <w:iCs/>
          <w:color w:val="000000"/>
          <w:lang w:eastAsia="es-AR"/>
        </w:rPr>
        <w:t xml:space="preserve">"Toda persona física que se desempeñe en las jurisdicciones o entidades sujetas a la competencia de la Auditoría General de la Nación responderá de los daños económicos que por </w:t>
      </w:r>
      <w:r>
        <w:rPr>
          <w:i/>
          <w:iCs/>
          <w:color w:val="000000"/>
          <w:lang w:eastAsia="es-AR"/>
        </w:rPr>
        <w:lastRenderedPageBreak/>
        <w:t>su dolo, culpa o negligencia en el ejercicio de sus funciones sufran los entes mencionados siempre que no se encontrare comprendida en regímenes especiales de responsabilidad patrimonial”.</w:t>
      </w:r>
    </w:p>
    <w:p w14:paraId="2988124F" w14:textId="77777777" w:rsidR="00854672" w:rsidRDefault="00854672">
      <w:pPr>
        <w:tabs>
          <w:tab w:val="left" w:pos="1440"/>
        </w:tabs>
        <w:ind w:firstLine="1260"/>
        <w:jc w:val="both"/>
        <w:rPr>
          <w:i/>
          <w:iCs/>
          <w:color w:val="000000"/>
          <w:lang w:eastAsia="es-AR"/>
        </w:rPr>
      </w:pPr>
    </w:p>
    <w:p w14:paraId="64331B71" w14:textId="77777777" w:rsidR="00854672" w:rsidRDefault="00000000">
      <w:pPr>
        <w:tabs>
          <w:tab w:val="left" w:pos="1440"/>
        </w:tabs>
        <w:ind w:firstLine="1260"/>
        <w:jc w:val="both"/>
        <w:rPr>
          <w:color w:val="000000"/>
          <w:lang w:eastAsia="es-AR"/>
        </w:rPr>
      </w:pPr>
      <w:r>
        <w:rPr>
          <w:color w:val="000000"/>
          <w:lang w:eastAsia="es-AR"/>
        </w:rPr>
        <w:t>{{ANALISIS_RESPONSABILIDAD_PATRIMONIAL}}</w:t>
      </w:r>
    </w:p>
    <w:p w14:paraId="17B0A77A" w14:textId="77777777" w:rsidR="00854672" w:rsidRDefault="00854672">
      <w:pPr>
        <w:spacing w:line="276" w:lineRule="auto"/>
        <w:rPr>
          <w:rFonts w:eastAsia="Calibri"/>
          <w:color w:val="000000"/>
          <w:lang w:val="es-AR" w:eastAsia="es-AR"/>
        </w:rPr>
      </w:pPr>
    </w:p>
    <w:p w14:paraId="6F15BC99" w14:textId="77777777" w:rsidR="00854672" w:rsidRDefault="00854672">
      <w:pPr>
        <w:spacing w:line="276" w:lineRule="auto"/>
        <w:rPr>
          <w:rFonts w:eastAsia="Calibri"/>
          <w:b/>
          <w:bCs/>
          <w:color w:val="000000"/>
          <w:lang w:val="es-AR" w:eastAsia="es-AR"/>
        </w:rPr>
      </w:pPr>
    </w:p>
    <w:p w14:paraId="2FF12C26" w14:textId="77777777" w:rsidR="00854672" w:rsidRDefault="00854672">
      <w:pPr>
        <w:spacing w:line="276" w:lineRule="auto"/>
        <w:jc w:val="center"/>
        <w:rPr>
          <w:b/>
          <w:bCs/>
        </w:rPr>
      </w:pPr>
    </w:p>
    <w:p w14:paraId="52377D4E" w14:textId="77777777" w:rsidR="00854672" w:rsidRDefault="00000000">
      <w:pPr>
        <w:spacing w:line="276" w:lineRule="auto"/>
        <w:jc w:val="center"/>
        <w:rPr>
          <w:b/>
          <w:bCs/>
        </w:rPr>
      </w:pPr>
      <w:r>
        <w:rPr>
          <w:b/>
          <w:bCs/>
        </w:rPr>
        <w:t>-IV-</w:t>
      </w:r>
    </w:p>
    <w:p w14:paraId="35CEE876" w14:textId="77777777" w:rsidR="00854672" w:rsidRDefault="00854672">
      <w:pPr>
        <w:spacing w:line="276" w:lineRule="auto"/>
        <w:jc w:val="center"/>
        <w:rPr>
          <w:b/>
          <w:bCs/>
        </w:rPr>
      </w:pPr>
    </w:p>
    <w:p w14:paraId="5DB8C983" w14:textId="77777777" w:rsidR="00854672" w:rsidRDefault="00000000">
      <w:pPr>
        <w:spacing w:line="276" w:lineRule="auto"/>
        <w:jc w:val="center"/>
        <w:rPr>
          <w:b/>
          <w:bCs/>
        </w:rPr>
      </w:pPr>
      <w:r>
        <w:rPr>
          <w:b/>
          <w:bCs/>
        </w:rPr>
        <w:t>CONCLUSIONES</w:t>
      </w:r>
    </w:p>
    <w:p w14:paraId="15178DD8" w14:textId="77777777" w:rsidR="00854672" w:rsidRDefault="00854672">
      <w:pPr>
        <w:spacing w:line="276" w:lineRule="auto"/>
        <w:jc w:val="center"/>
        <w:rPr>
          <w:b/>
          <w:bCs/>
        </w:rPr>
      </w:pPr>
    </w:p>
    <w:p w14:paraId="43A9567C" w14:textId="77777777" w:rsidR="00854672" w:rsidRDefault="00000000">
      <w:pPr>
        <w:ind w:firstLine="1276"/>
        <w:jc w:val="both"/>
      </w:pPr>
      <w:r>
        <w:rPr>
          <w:color w:val="000000"/>
        </w:rPr>
        <w:t>Por todo lo expuesto, soy de opinión que correspondería el dictado del acto administrativo que disponga {{DISPOSITIVO_CONCLUSION}}</w:t>
      </w:r>
      <w:r>
        <w:t>, respecto de la {{TIPO_NOVEDAD}} del efecto detallado en la presente actuación administrativa{{TEXTO_ADICIONAL_CONCLUSION}}.</w:t>
      </w:r>
    </w:p>
    <w:p w14:paraId="5267A3AB" w14:textId="77777777" w:rsidR="00854672" w:rsidRDefault="00854672">
      <w:pPr>
        <w:pStyle w:val="Prrafodelista"/>
        <w:spacing w:after="200"/>
        <w:ind w:left="0"/>
      </w:pPr>
    </w:p>
    <w:p w14:paraId="6CFEC20B" w14:textId="77777777" w:rsidR="00854672" w:rsidRDefault="00000000">
      <w:pPr>
        <w:pStyle w:val="Prrafodelista"/>
        <w:spacing w:after="200"/>
        <w:ind w:left="0"/>
        <w:jc w:val="right"/>
      </w:pPr>
      <w:r>
        <w:t>EL PALOMAR, {{FECHA_INFORME_LITERAL}}</w:t>
      </w:r>
    </w:p>
    <w:p w14:paraId="0467018F" w14:textId="77777777" w:rsidR="00854672" w:rsidRDefault="00854672">
      <w:pPr>
        <w:pStyle w:val="Prrafodelista"/>
        <w:spacing w:after="200"/>
        <w:ind w:left="0"/>
        <w:jc w:val="right"/>
      </w:pPr>
    </w:p>
    <w:p w14:paraId="7EB36B3D" w14:textId="16E9C4CB" w:rsidR="00854672" w:rsidRDefault="00CD0214">
      <w:pPr>
        <w:pStyle w:val="Prrafodelista"/>
        <w:spacing w:after="200"/>
        <w:ind w:left="0"/>
        <w:jc w:val="right"/>
        <w:rPr>
          <w:lang w:val="en-US" w:eastAsia="en-US"/>
        </w:rPr>
      </w:pPr>
      <w:r>
        <w:rPr>
          <w:noProof/>
        </w:rPr>
        <w:pict w14:anchorId="17F34606">
          <v:shapetype id="_x0000_t202" coordsize="21600,21600" o:spt="202" path="m,l,21600r21600,l21600,xe">
            <v:stroke joinstyle="miter"/>
            <v:path gradientshapeok="t" o:connecttype="rect"/>
          </v:shapetype>
          <v:shape id="Frame1" o:spid="_x0000_s2050" type="#_x0000_t202" style="position:absolute;left:0;text-align:left;margin-left:258.85pt;margin-top:19.3pt;width:206.3pt;height:34.05pt;z-index:1;visibility:visible;mso-wrap-style:square;mso-wrap-distance-left:9.05pt;mso-wrap-distance-top:0;mso-wrap-distance-right:9.05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" strokecolor="white">
            <v:textbox>
              <w:txbxContent>
                <w:p w14:paraId="4B540665" w14:textId="77777777" w:rsidR="00854672" w:rsidRDefault="00000000">
                  <w:pPr>
                    <w:jc w:val="center"/>
                  </w:pPr>
                  <w:r>
                    <w:rPr>
                      <w:bCs/>
                      <w:sz w:val="20"/>
                      <w:szCs w:val="20"/>
                    </w:rPr>
                    <w:t>Oficial Informante - CMN</w:t>
                  </w:r>
                </w:p>
                <w:p w14:paraId="71863DDC" w14:textId="77777777" w:rsidR="00854672" w:rsidRDefault="00854672">
                  <w:pPr>
                    <w:jc w:val="center"/>
                    <w:rPr>
                      <w:bCs/>
                      <w:sz w:val="20"/>
                      <w:szCs w:val="20"/>
                    </w:rPr>
                  </w:pPr>
                </w:p>
              </w:txbxContent>
            </v:textbox>
            <w10:wrap anchory="page"/>
          </v:shape>
        </w:pict>
      </w:r>
    </w:p>
    <w:p w14:paraId="44260E61" w14:textId="77777777" w:rsidR="00854672" w:rsidRDefault="00854672">
      <w:pPr>
        <w:pStyle w:val="NormalWeb"/>
      </w:pPr>
    </w:p>
    <w:sectPr w:rsidR="00854672">
      <w:headerReference w:type="even" r:id="rId7"/>
      <w:headerReference w:type="default" r:id="rId8"/>
      <w:footerReference w:type="even" r:id="rId9"/>
      <w:footerReference w:type="default" r:id="rId10"/>
      <w:headerReference w:type="first" r:id="rId11"/>
      <w:footerReference w:type="first" r:id="rId12"/>
      <w:pgSz w:w="11906" w:h="16838"/>
      <w:pgMar w:top="993" w:right="851" w:bottom="1701" w:left="1560" w:header="709"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B9E5D" w14:textId="77777777" w:rsidR="006B719F" w:rsidRDefault="006B719F">
      <w:r>
        <w:separator/>
      </w:r>
    </w:p>
  </w:endnote>
  <w:endnote w:type="continuationSeparator" w:id="0">
    <w:p w14:paraId="4C63848F" w14:textId="77777777" w:rsidR="006B719F" w:rsidRDefault="006B71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Calibri">
    <w:panose1 w:val="020F0502020204030204"/>
    <w:charset w:val="00"/>
    <w:family w:val="swiss"/>
    <w:pitch w:val="variable"/>
    <w:sig w:usb0="E0002EFF" w:usb1="C000247B" w:usb2="00000009" w:usb3="00000000" w:csb0="000001FF" w:csb1="00000000"/>
  </w:font>
  <w:font w:name="MS Mincho;MS Goth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54DBF" w14:textId="77777777" w:rsidR="00CD0214" w:rsidRDefault="00CD021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B64FB" w14:textId="77777777" w:rsidR="00CD0214" w:rsidRDefault="00CD021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FFB16" w14:textId="77777777" w:rsidR="00CD0214" w:rsidRDefault="00CD021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2D812" w14:textId="77777777" w:rsidR="006B719F" w:rsidRDefault="006B719F">
      <w:r>
        <w:separator/>
      </w:r>
    </w:p>
  </w:footnote>
  <w:footnote w:type="continuationSeparator" w:id="0">
    <w:p w14:paraId="48C1CBCE" w14:textId="77777777" w:rsidR="006B719F" w:rsidRDefault="006B71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6FE3E" w14:textId="77777777" w:rsidR="00CD0214" w:rsidRDefault="00CD021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99827" w14:textId="686CE6A7" w:rsidR="00854672" w:rsidRDefault="00CD0214">
    <w:pPr>
      <w:pStyle w:val="Ttulo3"/>
      <w:ind w:firstLine="284"/>
      <w:rPr>
        <w:szCs w:val="32"/>
        <w:lang w:val="en-US" w:eastAsia="en-US"/>
      </w:rPr>
    </w:pPr>
    <w:r>
      <w:rPr>
        <w:noProof/>
        <w:szCs w:val="32"/>
        <w:lang w:val="en-US" w:eastAsia="en-US"/>
      </w:rPr>
      <w:pict w14:anchorId="00A422D6">
        <v:group id="_x0000_s1025" style="position:absolute;left:0;text-align:left;margin-left:447.4pt;margin-top:-6.9pt;width:52.8pt;height:50.05pt;z-index:1" coordorigin="2446,851" coordsize="1361,1361">
          <v:oval id="_x0000_s1026" style="position:absolute;left:2446;top:851;width:1361;height:1361" strokeweight="1.5pt">
            <o:lock v:ext="edit" aspectratio="t"/>
          </v:oval>
          <v:oval id="_x0000_s1027" style="position:absolute;left:2503;top:907;width:1247;height:1247" strokeweight="1pt">
            <o:lock v:ext="edit" aspectratio="t"/>
          </v:oval>
          <v:oval id="_x0000_s1028" style="position:absolute;left:2734;top:1151;width:794;height:794" strokeweight="1pt">
            <o:lock v:ext="edit" aspectratio="t"/>
          </v:oval>
          <v:shapetype id="_x0000_t144" coordsize="21600,21600" o:spt="144" adj="11796480" path="al10800,10800,10800,10800@2@14e">
            <v:formulas>
              <v:f eqn="val #1"/>
              <v:f eqn="val #0"/>
              <v:f eqn="sum 0 0 #0"/>
              <v:f eqn="sumangle #0 0 180"/>
              <v:f eqn="sumangle #0 0 90"/>
              <v:f eqn="prod @4 2 1"/>
              <v:f eqn="sumangle #0 90 0"/>
              <v:f eqn="prod @6 2 1"/>
              <v:f eqn="abs #0"/>
              <v:f eqn="sumangle @8 0 90"/>
              <v:f eqn="if @9 @7 @5"/>
              <v:f eqn="sumangle @10 0 360"/>
              <v:f eqn="if @10 @11 @10"/>
              <v:f eqn="sumangle @12 0 360"/>
              <v:f eqn="if @12 @13 @12"/>
              <v:f eqn="sum 0 0 @14"/>
              <v:f eqn="val 10800"/>
              <v:f eqn="cos 10800 #0"/>
              <v:f eqn="sin 10800 #0"/>
              <v:f eqn="sum @17 10800 0"/>
              <v:f eqn="sum @18 10800 0"/>
              <v:f eqn="sum 10800 0 @17"/>
              <v:f eqn="if @9 0 21600"/>
              <v:f eqn="sum 10800 0 @18"/>
            </v:formulas>
            <v:path textpathok="t" o:connecttype="custom" o:connectlocs="10800,@22;@19,@20;@21,@20"/>
            <v:textpath on="t" style="v-text-kern:t" fitpath="t"/>
            <v:handles>
              <v:h position="@16,#0" polar="10800,10800"/>
            </v:handles>
            <o:lock v:ext="edit" text="t" shapetype="t"/>
          </v:shapetype>
          <v:shape id="_x0000_s1029" type="#_x0000_t144" style="position:absolute;left:2622;top:1026;width:1020;height:1020" adj="9174606" fillcolor="black">
            <v:shadow color="#868686"/>
            <v:textpath style="font-family:&quot;Times New Roman&quot;;font-size:14pt" fitshape="t" trim="t" string="COLEGIO MILITAR DE LA NACION "/>
            <o:lock v:ext="edit" aspectratio="t"/>
          </v:shape>
          <v:shapetype id="_x0000_t149" coordsize="21600,21600" o:spt="149" adj=",5400" path="al10800,10800@0@0@3@15al10800,10800,10800,10800@3@15e">
            <v:formulas>
              <v:f eqn="val #1"/>
              <v:f eqn="val #0"/>
              <v:f eqn="sum 0 0 #0"/>
              <v:f eqn="sumangle #0 0 180"/>
              <v:f eqn="sumangle #0 0 90"/>
              <v:f eqn="prod @4 2 1"/>
              <v:f eqn="sumangle #0 90 0"/>
              <v:f eqn="prod @6 2 1"/>
              <v:f eqn="abs #0"/>
              <v:f eqn="sumangle @8 0 90"/>
              <v:f eqn="if @9 @7 @5"/>
              <v:f eqn="sumangle @10 0 360"/>
              <v:f eqn="if @10 @11 @10"/>
              <v:f eqn="sumangle @12 0 360"/>
              <v:f eqn="if @12 @13 @12"/>
              <v:f eqn="sum 0 0 @14"/>
              <v:f eqn="val 10800"/>
              <v:f eqn="sum 10800 0 #1"/>
              <v:f eqn="prod #1 1 2"/>
              <v:f eqn="sum @18 5400 0"/>
              <v:f eqn="cos @19 #0"/>
              <v:f eqn="sin @19 #0"/>
              <v:f eqn="sum @20 10800 0"/>
              <v:f eqn="sum @21 10800 0"/>
              <v:f eqn="sum 10800 0 @20"/>
              <v:f eqn="sum #1 10800 0"/>
              <v:f eqn="if @9 @17 @25"/>
              <v:f eqn="if @9 0 21600"/>
            </v:formulas>
            <v:path textpathok="t" o:connecttype="custom" o:connectlocs="10800,@27;@22,@23;10800,@26;@24,@23"/>
            <v:textpath on="t" fitshape="t"/>
            <v:handles>
              <v:h position="#1,#0" polar="10800,10800" radiusrange="0,10800"/>
            </v:handles>
            <o:lock v:ext="edit" text="t" shapetype="t"/>
          </v:shapetype>
          <v:shape id="_x0000_s1030" type="#_x0000_t149" style="position:absolute;left:2570;top:975;width:1134;height:1134" adj="-1834317,8563" fillcolor="black">
            <v:shadow color="#868686"/>
            <v:textpath style="font-family:&quot;Times New Roman&quot;;font-size:14pt;v-text-kern:t" trim="t" fitpath="t" string="           "/>
            <o:lock v:ext="edit" aspectratio="t"/>
          </v:shape>
          <v:shapetype id="_x0000_t202" coordsize="21600,21600" o:spt="202" path="m,l,21600r21600,l21600,xe">
            <v:stroke joinstyle="miter"/>
            <v:path gradientshapeok="t" o:connecttype="rect"/>
          </v:shapetype>
          <v:shape id="_x0000_s1031" type="#_x0000_t202" style="position:absolute;left:2598;top:1211;width:1080;height:720" filled="f" stroked="f">
            <v:textbox style="mso-next-textbox:#_x0000_s1031">
              <w:txbxContent>
                <w:p w14:paraId="18E66F8F" w14:textId="77777777" w:rsidR="00CD0214" w:rsidRDefault="00CD0214" w:rsidP="00CD0214">
                  <w:pPr>
                    <w:jc w:val="center"/>
                    <w:rPr>
                      <w:sz w:val="16"/>
                    </w:rPr>
                  </w:pPr>
                  <w:r>
                    <w:rPr>
                      <w:sz w:val="16"/>
                    </w:rPr>
                    <w:t>F O JA</w:t>
                  </w:r>
                </w:p>
                <w:p w14:paraId="5B528189" w14:textId="77777777" w:rsidR="00CD0214" w:rsidRPr="008E29B6" w:rsidRDefault="00CD0214" w:rsidP="00CD0214">
                  <w:pPr>
                    <w:jc w:val="center"/>
                  </w:pPr>
                </w:p>
              </w:txbxContent>
            </v:textbox>
          </v:shape>
        </v:group>
      </w:pict>
    </w:r>
  </w:p>
  <w:p w14:paraId="2D9EC8BE" w14:textId="77777777" w:rsidR="00854672" w:rsidRDefault="00000000">
    <w:pPr>
      <w:pStyle w:val="Ttulo3"/>
      <w:ind w:firstLine="284"/>
    </w:pPr>
    <w:r>
      <w:rPr>
        <w:szCs w:val="32"/>
      </w:rPr>
      <w:t xml:space="preserve">   Ejército Argentino</w:t>
    </w:r>
    <w:r>
      <w:rPr>
        <w:i w:val="0"/>
        <w:szCs w:val="32"/>
      </w:rPr>
      <w:t xml:space="preserve">                         </w:t>
    </w:r>
    <w:r>
      <w:rPr>
        <w:sz w:val="20"/>
      </w:rPr>
      <w:t xml:space="preserve">“2026- AÑO DE LA GRANDEZA ARGENITNA” </w:t>
    </w:r>
    <w:r>
      <w:rPr>
        <w:sz w:val="28"/>
      </w:rPr>
      <w:t xml:space="preserve">    </w:t>
    </w:r>
    <w:r>
      <w:rPr>
        <w:sz w:val="22"/>
        <w:szCs w:val="22"/>
      </w:rPr>
      <w:t xml:space="preserve"> </w:t>
    </w:r>
    <w:r>
      <w:rPr>
        <w:sz w:val="28"/>
        <w:szCs w:val="28"/>
      </w:rPr>
      <w:t xml:space="preserve">                                                                    Colegio Militar de la Nación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192E7" w14:textId="77777777" w:rsidR="00CD0214" w:rsidRDefault="00CD021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23BBB"/>
    <w:multiLevelType w:val="multilevel"/>
    <w:tmpl w:val="55A2ACF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377004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09"/>
  <w:autoHyphenation/>
  <w:hyphenationZone w:val="425"/>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54672"/>
    <w:rsid w:val="006B719F"/>
    <w:rsid w:val="00854672"/>
    <w:rsid w:val="00CD0214"/>
    <w:rsid w:val="00D2577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7739410D"/>
  <w15:docId w15:val="{461BE3D5-2DF8-439A-9545-A2B502F25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4"/>
      <w:szCs w:val="24"/>
      <w:lang w:val="es-ES" w:eastAsia="zh-CN"/>
    </w:rPr>
  </w:style>
  <w:style w:type="paragraph" w:styleId="Ttulo3">
    <w:name w:val="heading 3"/>
    <w:basedOn w:val="Normal"/>
    <w:next w:val="Normal"/>
    <w:uiPriority w:val="9"/>
    <w:unhideWhenUsed/>
    <w:qFormat/>
    <w:pPr>
      <w:keepNext/>
      <w:numPr>
        <w:ilvl w:val="2"/>
        <w:numId w:val="1"/>
      </w:numPr>
      <w:ind w:hanging="1134"/>
      <w:outlineLvl w:val="2"/>
    </w:pPr>
    <w:rPr>
      <w:i/>
      <w:sz w:val="32"/>
      <w:szCs w:val="20"/>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qFormat/>
    <w:rPr>
      <w:b/>
    </w:rPr>
  </w:style>
  <w:style w:type="character" w:customStyle="1" w:styleId="WW8Num2z0">
    <w:name w:val="WW8Num2z0"/>
    <w:qFormat/>
    <w:rPr>
      <w:rFonts w:ascii="Times New Roman" w:eastAsia="Times New Roman" w:hAnsi="Times New Roman" w:cs="Times New Roman"/>
      <w:b/>
    </w:rPr>
  </w:style>
  <w:style w:type="character" w:customStyle="1" w:styleId="WW8Num3z0">
    <w:name w:val="WW8Num3z0"/>
    <w:qFormat/>
    <w:rPr>
      <w:b w:val="0"/>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WW8Num4z0">
    <w:name w:val="WW8Num4z0"/>
    <w:qFormat/>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6z0">
    <w:name w:val="WW8Num6z0"/>
    <w:qFormat/>
    <w:rPr>
      <w:b/>
    </w:rPr>
  </w:style>
  <w:style w:type="character" w:customStyle="1" w:styleId="WW8Num7z0">
    <w:name w:val="WW8Num7z0"/>
    <w:qFormat/>
    <w:rPr>
      <w:b/>
      <w:bCs w:val="0"/>
    </w:rPr>
  </w:style>
  <w:style w:type="character" w:customStyle="1" w:styleId="WW8Num8z0">
    <w:name w:val="WW8Num8z0"/>
    <w:qFormat/>
  </w:style>
  <w:style w:type="character" w:customStyle="1" w:styleId="WW8Num9z0">
    <w:name w:val="WW8Num9z0"/>
    <w:qFormat/>
    <w:rPr>
      <w:b/>
    </w:rPr>
  </w:style>
  <w:style w:type="character" w:customStyle="1" w:styleId="Ttulo3Car">
    <w:name w:val="Título 3 Car"/>
    <w:qFormat/>
    <w:rPr>
      <w:i/>
      <w:sz w:val="32"/>
      <w:lang w:val="es-MX"/>
    </w:rPr>
  </w:style>
  <w:style w:type="character" w:customStyle="1" w:styleId="EncabezadoCar">
    <w:name w:val="Encabezado Car"/>
    <w:qFormat/>
    <w:rPr>
      <w:sz w:val="24"/>
      <w:szCs w:val="24"/>
      <w:lang w:val="es-ES"/>
    </w:rPr>
  </w:style>
  <w:style w:type="character" w:customStyle="1" w:styleId="PiedepginaCar">
    <w:name w:val="Pie de página Car"/>
    <w:qFormat/>
    <w:rPr>
      <w:sz w:val="24"/>
      <w:szCs w:val="24"/>
      <w:lang w:val="es-ES"/>
    </w:rPr>
  </w:style>
  <w:style w:type="character" w:customStyle="1" w:styleId="TextodegloboCar">
    <w:name w:val="Texto de globo Car"/>
    <w:qFormat/>
    <w:rPr>
      <w:rFonts w:ascii="Tahoma" w:hAnsi="Tahoma" w:cs="Tahoma"/>
      <w:sz w:val="16"/>
      <w:szCs w:val="16"/>
      <w:lang w:val="es-ES"/>
    </w:rPr>
  </w:style>
  <w:style w:type="character" w:styleId="Hipervnculo">
    <w:name w:val="Hyperlink"/>
    <w:rPr>
      <w:color w:val="0000FF"/>
      <w:u w:val="single"/>
    </w:rPr>
  </w:style>
  <w:style w:type="character" w:customStyle="1" w:styleId="TextoindependienteCar">
    <w:name w:val="Texto independiente Car"/>
    <w:qFormat/>
    <w:rPr>
      <w:rFonts w:ascii="Arial" w:hAnsi="Arial" w:cs="Arial"/>
      <w:sz w:val="24"/>
      <w:lang w:val="es-ES_tradnl"/>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pPr>
      <w:ind w:right="-376"/>
    </w:pPr>
    <w:rPr>
      <w:rFonts w:ascii="Arial" w:hAnsi="Arial" w:cs="Arial"/>
      <w:szCs w:val="20"/>
      <w:lang w:val="es-ES_tradnl"/>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pPr>
      <w:suppressLineNumbers/>
      <w:tabs>
        <w:tab w:val="center" w:pos="4819"/>
        <w:tab w:val="right" w:pos="9638"/>
      </w:tabs>
    </w:pPr>
  </w:style>
  <w:style w:type="paragraph" w:styleId="Encabezado">
    <w:name w:val="header"/>
    <w:basedOn w:val="Normal"/>
    <w:pPr>
      <w:tabs>
        <w:tab w:val="center" w:pos="4419"/>
        <w:tab w:val="right" w:pos="8838"/>
      </w:tabs>
    </w:pPr>
  </w:style>
  <w:style w:type="paragraph" w:styleId="Piedepgina">
    <w:name w:val="footer"/>
    <w:basedOn w:val="Normal"/>
    <w:pPr>
      <w:tabs>
        <w:tab w:val="center" w:pos="4419"/>
        <w:tab w:val="right" w:pos="8838"/>
      </w:tabs>
    </w:pPr>
  </w:style>
  <w:style w:type="paragraph" w:styleId="Textodeglobo">
    <w:name w:val="Balloon Text"/>
    <w:basedOn w:val="Normal"/>
    <w:qFormat/>
    <w:rPr>
      <w:rFonts w:ascii="Tahoma" w:hAnsi="Tahoma" w:cs="Tahoma"/>
      <w:sz w:val="16"/>
      <w:szCs w:val="16"/>
    </w:rPr>
  </w:style>
  <w:style w:type="paragraph" w:styleId="NormalWeb">
    <w:name w:val="Normal (Web)"/>
    <w:basedOn w:val="Normal"/>
    <w:qFormat/>
    <w:pPr>
      <w:spacing w:before="280" w:after="280"/>
    </w:pPr>
    <w:rPr>
      <w:lang w:val="es-AR"/>
    </w:rPr>
  </w:style>
  <w:style w:type="paragraph" w:customStyle="1" w:styleId="Default">
    <w:name w:val="Default"/>
    <w:qFormat/>
    <w:pPr>
      <w:suppressAutoHyphens/>
      <w:autoSpaceDE w:val="0"/>
    </w:pPr>
    <w:rPr>
      <w:rFonts w:ascii="Times New Roman" w:eastAsia="Times New Roman" w:hAnsi="Times New Roman" w:cs="Times New Roman"/>
      <w:color w:val="000000"/>
      <w:sz w:val="24"/>
      <w:szCs w:val="24"/>
      <w:lang w:val="es-ES" w:eastAsia="zh-CN"/>
    </w:rPr>
  </w:style>
  <w:style w:type="paragraph" w:styleId="Prrafodelista">
    <w:name w:val="List Paragraph"/>
    <w:basedOn w:val="Normal"/>
    <w:qFormat/>
    <w:pPr>
      <w:ind w:left="720"/>
      <w:contextualSpacing/>
    </w:pPr>
  </w:style>
  <w:style w:type="paragraph" w:customStyle="1" w:styleId="Prrafodelista2">
    <w:name w:val="Párrafo de lista2"/>
    <w:basedOn w:val="Normal"/>
    <w:qFormat/>
    <w:pPr>
      <w:ind w:left="708"/>
    </w:pPr>
    <w:rPr>
      <w:rFonts w:eastAsia="Calibri"/>
    </w:rPr>
  </w:style>
  <w:style w:type="paragraph" w:styleId="Sinespaciado">
    <w:name w:val="No Spacing"/>
    <w:qFormat/>
    <w:pPr>
      <w:suppressAutoHyphens/>
    </w:pPr>
    <w:rPr>
      <w:rFonts w:ascii="Times New Roman" w:eastAsia="Times New Roman" w:hAnsi="Times New Roman" w:cs="Times New Roman"/>
      <w:sz w:val="24"/>
      <w:szCs w:val="24"/>
      <w:lang w:val="es-ES" w:eastAsia="zh-CN"/>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770</Words>
  <Characters>4236</Characters>
  <Application>Microsoft Office Word</Application>
  <DocSecurity>0</DocSecurity>
  <Lines>35</Lines>
  <Paragraphs>9</Paragraphs>
  <ScaleCrop>false</ScaleCrop>
  <Company/>
  <LinksUpToDate>false</LinksUpToDate>
  <CharactersWithSpaces>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Martin</cp:lastModifiedBy>
  <cp:revision>2</cp:revision>
  <dcterms:created xsi:type="dcterms:W3CDTF">2026-03-28T14:47:00Z</dcterms:created>
  <dcterms:modified xsi:type="dcterms:W3CDTF">2026-03-28T14:47:00Z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2026-03-26T20:41:00Z</dcterms:created>
  <dc:creator>d11748980</dc:creator>
  <dc:description/>
  <dc:language>en-US</dc:language>
  <cp:lastModifiedBy>jdivjus</cp:lastModifiedBy>
  <cp:lastPrinted>2020-05-06T13:00:00Z</cp:lastPrinted>
  <dcterms:modified xsi:type="dcterms:W3CDTF">2026-03-26T20:41:00Z</dcterms:modified>
  <cp:revision>2</cp:revision>
  <dc:subject/>
  <dc:title>Diligencia Iniciando             En Córdoba, cuartel del Liceo Militar General Paz a los cinco</dc:title>
</cp:coreProperties>
</file>