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맑은 고딕" w:cs="맑은 고딕" w:eastAsia="맑은 고딕" w:hAnsi="맑은 고딕"/>
          <w:b w:val="false"/>
          <w:bCs w:val="false"/>
          <w:i w:val="false"/>
          <w:iCs w:val="false"/>
          <w:sz w:val="21"/>
          <w:szCs w:val="21"/>
        </w:rPr>
        <w:t xml:space="preserve"> </w:t>
      </w:r>
    </w:p>
    <w:p>
      <w:pPr>
        <w:spacing w:after="300"/>
        <w:jc w:val="center"/>
      </w:pPr>
      <w:r>
        <w:rPr>
          <w:rFonts w:ascii="맑은 고딕" w:cs="맑은 고딕" w:eastAsia="맑은 고딕" w:hAnsi="맑은 고딕"/>
          <w:b/>
          <w:bCs/>
          <w:color w:val="1F4E79"/>
          <w:sz w:val="30"/>
          <w:szCs w:val="30"/>
        </w:rPr>
        <w:t xml:space="preserve">최종 연구보고서</w:t>
      </w:r>
    </w:p>
    <w:p>
      <w:pPr>
        <w:spacing w:after="700"/>
        <w:jc w:val="center"/>
      </w:pPr>
      <w:r>
        <w:rPr>
          <w:rFonts w:ascii="맑은 고딕" w:cs="맑은 고딕" w:eastAsia="맑은 고딕" w:hAnsi="맑은 고딕"/>
          <w:b/>
          <w:bCs/>
          <w:sz w:val="56"/>
          <w:szCs w:val="56"/>
        </w:rPr>
        <w:t xml:space="preserve">PRISM 통계분석 Add-on</w:t>
      </w:r>
    </w:p>
    <w:p>
      <w:pPr>
        <w:spacing w:after="120"/>
        <w:jc w:val="center"/>
      </w:pPr>
      <w:r>
        <w:rPr>
          <w:rFonts w:ascii="맑은 고딕" w:cs="맑은 고딕" w:eastAsia="맑은 고딕" w:hAnsi="맑은 고딕"/>
          <w:color w:val="555555"/>
          <w:sz w:val="24"/>
          <w:szCs w:val="24"/>
        </w:rPr>
        <w:t xml:space="preserve">제조 현장용 통계분석 앱 개발 연구</w:t>
      </w:r>
    </w:p>
    <w:p>
      <w:pPr>
        <w:spacing w:after="1000"/>
      </w:pPr>
      <w:r>
        <w:rPr>
          <w:rFonts w:ascii="맑은 고딕" w:cs="맑은 고딕" w:eastAsia="맑은 고딕" w:hAnsi="맑은 고딕"/>
          <w:b w:val="false"/>
          <w:bCs w:val="false"/>
          <w:i w:val="false"/>
          <w:iCs w:val="false"/>
          <w:sz w:val="21"/>
          <w:szCs w:val="21"/>
        </w:rPr>
        <w:t xml:space="preserve"> </w:t>
      </w:r>
    </w:p>
    <w:tbl>
      <w:tblPr>
        <w:tblW w:type="dxa" w:w="7200"/>
        <w:jc w:val="center"/>
        <w:tblBorders>
          <w:top w:val="single" w:color="B7C6D9" w:sz="4"/>
          <w:left w:val="single" w:color="B7C6D9" w:sz="4"/>
          <w:bottom w:val="single" w:color="B7C6D9" w:sz="4"/>
          <w:right w:val="single" w:color="B7C6D9" w:sz="4"/>
          <w:insideH w:val="single" w:color="B7C6D9" w:sz="4"/>
          <w:insideV w:val="single" w:color="B7C6D9" w:sz="4"/>
        </w:tblBorders>
      </w:tblPr>
      <w:tblGrid>
        <w:gridCol w:w="2400"/>
        <w:gridCol w:w="4800"/>
      </w:tblGrid>
      <w:tr>
        <w:tc>
          <w:tcPr>
            <w:tcW w:type="dxa" w:w="2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문서 ID</w:t>
            </w:r>
          </w:p>
        </w:tc>
        <w:tc>
          <w:tcPr>
            <w:tcW w:type="dxa" w:w="4800"/>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DELIV-FINAL-001</w:t>
            </w:r>
          </w:p>
        </w:tc>
      </w:tr>
      <w:tr>
        <w:tc>
          <w:tcPr>
            <w:tcW w:type="dxa" w:w="2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버전</w:t>
            </w:r>
          </w:p>
        </w:tc>
        <w:tc>
          <w:tcPr>
            <w:tcW w:type="dxa" w:w="4800"/>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v2.1 (2026-09-10)</w:t>
            </w:r>
          </w:p>
        </w:tc>
      </w:tr>
      <w:tr>
        <w:tc>
          <w:tcPr>
            <w:tcW w:type="dxa" w:w="2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상태</w:t>
            </w:r>
          </w:p>
        </w:tc>
        <w:tc>
          <w:tcPr>
            <w:tcW w:type="dxa" w:w="4800"/>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G6 Adjudication 완료(self-adjudicated) — Ian 최종 승인(accepted) 대기</w:t>
            </w:r>
          </w:p>
        </w:tc>
      </w:tr>
      <w:tr>
        <w:tc>
          <w:tcPr>
            <w:tcW w:type="dxa" w:w="2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연구책임자 / 제품오너</w:t>
            </w:r>
          </w:p>
        </w:tc>
        <w:tc>
          <w:tcPr>
            <w:tcW w:type="dxa" w:w="4800"/>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Ian</w:t>
            </w:r>
          </w:p>
        </w:tc>
      </w:tr>
      <w:tr>
        <w:tc>
          <w:tcPr>
            <w:tcW w:type="dxa" w:w="2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조사·분석·자체검토</w:t>
            </w:r>
          </w:p>
        </w:tc>
        <w:tc>
          <w:tcPr>
            <w:tcW w:type="dxa" w:w="4800"/>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Claude (Cowork)</w:t>
            </w:r>
          </w:p>
        </w:tc>
      </w:tr>
      <w:tr>
        <w:tc>
          <w:tcPr>
            <w:tcW w:type="dxa" w:w="2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작성일</w:t>
            </w:r>
          </w:p>
        </w:tc>
        <w:tc>
          <w:tcPr>
            <w:tcW w:type="dxa" w:w="4800"/>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2026-09-10</w:t>
            </w:r>
          </w:p>
        </w:tc>
      </w:tr>
    </w:tbl>
    <w:p>
      <w:pPr>
        <w:pageBreakBefore/>
      </w:pPr>
      <w:r>
        <w:br/>
        <w:t xml:space="preserve"/>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갱신 고지</w:t>
      </w:r>
    </w:p>
    <w:p>
      <w:pPr>
        <w:spacing w:after="160"/>
      </w:pPr>
      <w:r>
        <w:rPr>
          <w:rFonts w:ascii="맑은 고딕" w:cs="맑은 고딕" w:eastAsia="맑은 고딕" w:hAnsi="맑은 고딕"/>
          <w:b/>
          <w:bCs/>
          <w:i w:val="false"/>
          <w:iCs w:val="false"/>
          <w:color w:val="1F4E79"/>
          <w:sz w:val="21"/>
          <w:szCs w:val="21"/>
        </w:rPr>
        <w:t xml:space="preserve">[v2.0] </w:t>
      </w:r>
      <w:r>
        <w:rPr>
          <w:rFonts w:ascii="맑은 고딕" w:cs="맑은 고딕" w:eastAsia="맑은 고딕" w:hAnsi="맑은 고딕"/>
          <w:b w:val="false"/>
          <w:bCs w:val="false"/>
          <w:i w:val="false"/>
          <w:iCs w:val="false"/>
          <w:sz w:val="21"/>
          <w:szCs w:val="21"/>
        </w:rPr>
        <w:t xml:space="preserve">이전 버전(v1.0)은 “SmartStat Manufacturing”이라는 독립 앱을 전제로 작성되었으나, Ian이 정정(DEC-008): 이 연구의 실제 목적은 기존 PRISM(CTQ 자동분석 앱)에 추가할 통계분석 Add-on의 개발 지침서 작성이며, </w:t>
      </w:r>
      <w:r>
        <w:rPr>
          <w:rFonts w:ascii="맑은 고딕" w:cs="맑은 고딕" w:eastAsia="맑은 고딕" w:hAnsi="맑은 고딕"/>
          <w:b/>
          <w:bCs/>
          <w:i w:val="false"/>
          <w:iCs w:val="false"/>
          <w:sz w:val="21"/>
          <w:szCs w:val="21"/>
        </w:rPr>
        <w:t xml:space="preserve">Add-on 런타임에는 AI/LLM이 없습니다</w:t>
      </w:r>
      <w:r>
        <w:rPr>
          <w:rFonts w:ascii="맑은 고딕" w:cs="맑은 고딕" w:eastAsia="맑은 고딕" w:hAnsi="맑은 고딕"/>
          <w:b w:val="false"/>
          <w:bCs w:val="false"/>
          <w:i w:val="false"/>
          <w:iCs w:val="false"/>
          <w:sz w:val="21"/>
          <w:szCs w:val="21"/>
        </w:rPr>
        <w:t xml:space="preserve"> — 모든 해석은 사전 설계된 결정론적 규칙/템플릿으로만 제공됩니다. 이 정정 이후 (1) 여러 통계기법을 자동 연계하는 “분석 패키지” 개념과 재사용 가능한 원자 모듈 라이브러리, (2) 통계 비전문가를 위한 “스무고개” 방식 Navigator 질문흐름, (3) 무AI 환경에서 해석 누락을 막는 템플릿 전수 커버리지 방법론, (4) Ian이 직접 결정한 2개 도메인 확장 패키지(신뢰성·안전재고)가 추가되었습니다.</w:t>
      </w:r>
    </w:p>
    <w:p>
      <w:pPr>
        <w:spacing w:after="160"/>
      </w:pPr>
      <w:r>
        <w:rPr>
          <w:rFonts w:ascii="맑은 고딕" w:cs="맑은 고딕" w:eastAsia="맑은 고딕" w:hAnsi="맑은 고딕"/>
          <w:b/>
          <w:bCs/>
          <w:i w:val="false"/>
          <w:iCs w:val="false"/>
          <w:color w:val="1F4E79"/>
          <w:sz w:val="21"/>
          <w:szCs w:val="21"/>
        </w:rPr>
        <w:t xml:space="preserve">[v2.1] </w:t>
      </w:r>
      <w:r>
        <w:rPr>
          <w:rFonts w:ascii="맑은 고딕" w:cs="맑은 고딕" w:eastAsia="맑은 고딕" w:hAnsi="맑은 고딕"/>
          <w:b w:val="false"/>
          <w:bCs w:val="false"/>
          <w:i w:val="false"/>
          <w:iCs w:val="false"/>
          <w:sz w:val="21"/>
          <w:szCs w:val="21"/>
        </w:rPr>
        <w:t xml:space="preserve">MVP 범위 충분성 평가를 “재검토 필요”에서 “완료”로 정정하고(8개 사례 전부 대응 패키지 보유 확인), 신뢰성 패키지의 교체주기 최적화 모듈 완성으로 GAP-10을 closed로 갱신했습니다. Claim-to-evidence 색인을 CLM-48 / SRC-154 / FND-16 / RUN-026까지 확장했습니다.</w:t>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요약 (Executive Conclusion) — 결론 먼저</w:t>
      </w:r>
    </w:p>
    <w:p>
      <w:pPr>
        <w:spacing w:after="160"/>
      </w:pPr>
      <w:r>
        <w:rPr>
          <w:rFonts w:ascii="맑은 고딕" w:cs="맑은 고딕" w:eastAsia="맑은 고딕" w:hAnsi="맑은 고딕"/>
          <w:b w:val="false"/>
          <w:bCs w:val="false"/>
          <w:i w:val="false"/>
          <w:iCs w:val="false"/>
          <w:sz w:val="21"/>
          <w:szCs w:val="21"/>
        </w:rPr>
        <w:t xml:space="preserve">PRISM 통계분석 Add-on의 핵심가치 가설(“현장 질문을 통계적 판단으로 전환하는 도구”)은 </w:t>
      </w:r>
      <w:r>
        <w:rPr>
          <w:rFonts w:ascii="맑은 고딕" w:cs="맑은 고딕" w:eastAsia="맑은 고딕" w:hAnsi="맑은 고딕"/>
          <w:b/>
          <w:bCs/>
          <w:i w:val="false"/>
          <w:iCs w:val="false"/>
          <w:sz w:val="21"/>
          <w:szCs w:val="21"/>
        </w:rPr>
        <w:t xml:space="preserve">부분적으로 지지</w:t>
      </w:r>
      <w:r>
        <w:rPr>
          <w:rFonts w:ascii="맑은 고딕" w:cs="맑은 고딕" w:eastAsia="맑은 고딕" w:hAnsi="맑은 고딕"/>
          <w:b w:val="false"/>
          <w:bCs w:val="false"/>
          <w:i w:val="false"/>
          <w:iCs w:val="false"/>
          <w:sz w:val="21"/>
          <w:szCs w:val="21"/>
        </w:rPr>
        <w:t xml:space="preserve">됩니다. 실제 현장 인터뷰(CASE-001, 에어컨 공정 1건)와 산업 공통 문헌사례 7건(CASE-002~008) 모두에서 공통 패턴이 확인되었습니다: 현장 실무자는 통계 도구 사용법이 아니라 “이 상황이 통계적 판단이 필요한 상황”이라는 인식 자체에서 막힙니다. 이 발견은 Navigator를 “검정을 골라주는 도구”가 아니라 “상황을 인식시키는 도구”로 재정의해야 함을 시사했고([추론]), 실제로 v2 Navigator는 통계 카테고리명을 전혀 노출하지 않고 “요즘 상황에 가장 가까운 것”을 묻는 상황질문 결정트리(스무고개 방식, DEC-011)로 재설계되었습니다.</w:t>
      </w:r>
    </w:p>
    <w:p>
      <w:pPr>
        <w:spacing w:after="160"/>
      </w:pPr>
      <w:r>
        <w:rPr>
          <w:rFonts w:ascii="맑은 고딕" w:cs="맑은 고딕" w:eastAsia="맑은 고딕" w:hAnsi="맑은 고딕"/>
          <w:b/>
          <w:bCs/>
          <w:i w:val="false"/>
          <w:iCs w:val="false"/>
          <w:sz w:val="21"/>
          <w:szCs w:val="21"/>
        </w:rPr>
        <w:t xml:space="preserve">Add-on에 AI가 없다는 제약(DEC-008)은 이 연구의 설계 방향을 근본적으로 바꿨습니다.</w:t>
      </w:r>
      <w:r>
        <w:rPr>
          <w:rFonts w:ascii="맑은 고딕" w:cs="맑은 고딕" w:eastAsia="맑은 고딕" w:hAnsi="맑은 고딕"/>
          <w:b w:val="false"/>
          <w:bCs w:val="false"/>
          <w:i w:val="false"/>
          <w:iCs w:val="false"/>
          <w:sz w:val="21"/>
          <w:szCs w:val="21"/>
        </w:rPr>
        <w:t xml:space="preserve"> 런타임에 재해석해줄 AI가 없으므로, (1) 여러 통계기법이 자동으로 이어지는 “분석 패키지”를 사전에 결정론적으로 설계해야 했고, (2) 재사용 가능한 원자 모듈(약 29개)과 조합 규칙으로 카탈로그화해야 했으며(DEC-010), (3) “배타적 핵심분류 / 접두 경고 / 목록형 조립” 3유형 슬롯 분류 방법론으로 해석 템플릿의 전수 커버리지를 구조적으로 보장해야 했습니다(GAP-09, DEC-013).</w:t>
      </w:r>
    </w:p>
    <w:p>
      <w:pPr>
        <w:spacing w:after="160"/>
      </w:pPr>
      <w:r>
        <w:rPr>
          <w:rFonts w:ascii="맑은 고딕" w:cs="맑은 고딕" w:eastAsia="맑은 고딕" w:hAnsi="맑은 고딕"/>
          <w:b w:val="false"/>
          <w:bCs w:val="false"/>
          <w:i w:val="false"/>
          <w:iCs w:val="false"/>
          <w:sz w:val="21"/>
          <w:szCs w:val="21"/>
        </w:rPr>
        <w:t xml:space="preserve">동시에 두 가지 구조적 위험이 정량적으로 확인되었습니다. </w:t>
      </w:r>
      <w:r>
        <w:rPr>
          <w:rFonts w:ascii="맑은 고딕" w:cs="맑은 고딕" w:eastAsia="맑은 고딕" w:hAnsi="맑은 고딕"/>
          <w:b/>
          <w:bCs/>
          <w:i w:val="false"/>
          <w:iCs w:val="false"/>
          <w:sz w:val="21"/>
          <w:szCs w:val="21"/>
        </w:rPr>
        <w:t xml:space="preserve">(1) </w:t>
      </w:r>
      <w:r>
        <w:rPr>
          <w:rFonts w:ascii="맑은 고딕" w:cs="맑은 고딕" w:eastAsia="맑은 고딕" w:hAnsi="맑은 고딕"/>
          <w:b w:val="false"/>
          <w:bCs w:val="false"/>
          <w:i w:val="false"/>
          <w:iCs w:val="false"/>
          <w:sz w:val="21"/>
          <w:szCs w:val="21"/>
        </w:rPr>
        <w:t xml:space="preserve">Navigator의 결정로직은 통계적 가정(정규성·등분산·독립성) 확인 없이 검정을 실행하도록 설계되어 있었고, 합성데이터 시뮬레이션에서 최악의 경우 1종 오류율이 명목 5%의 최대 12배(자기상관 rho=0.9에서 63.8%)까지 부풀려질 수 있음을 확인했습니다 — 8개 분석 패키지 전부에서 가정확인 모듈을 검정 실행보다 항상 먼저 배치하는 설계로 반영되었습니다. </w:t>
      </w:r>
      <w:r>
        <w:rPr>
          <w:rFonts w:ascii="맑은 고딕" w:cs="맑은 고딕" w:eastAsia="맑은 고딕" w:hAnsi="맑은 고딕"/>
          <w:b/>
          <w:bCs/>
          <w:i w:val="false"/>
          <w:iCs w:val="false"/>
          <w:sz w:val="21"/>
          <w:szCs w:val="21"/>
        </w:rPr>
        <w:t xml:space="preserve">(2) </w:t>
      </w:r>
      <w:r>
        <w:rPr>
          <w:rFonts w:ascii="맑은 고딕" w:cs="맑은 고딕" w:eastAsia="맑은 고딕" w:hAnsi="맑은 고딕"/>
          <w:b w:val="false"/>
          <w:bCs w:val="false"/>
          <w:i w:val="false"/>
          <w:iCs w:val="false"/>
          <w:sz w:val="21"/>
          <w:szCs w:val="21"/>
        </w:rPr>
        <w:t xml:space="preserve">MVP(Phase1) 원안 범위는 Case Library 8개 사례 중 완전 커버 0건이었으나, 8개 분석 패키지 완성 후 재검토(RUN-024) 결과 이 공백은 실제로 해소되었습니다 — 남은 것은 “무엇을 만들 것인가”가 아니라 “언제·어떤 순서로 배포할 것인가”(Phase 로드맵)와 PRISM 통합(GAP-08)·실사용자 문구검증(GAP-02/05)이라는 검증 공백입니다.</w:t>
      </w:r>
    </w:p>
    <w:tbl>
      <w:tblPr>
        <w:tblW w:type="dxa" w:w="9800"/>
        <w:tblBorders>
          <w:top w:val="single" w:color="B7C6D9" w:sz="4"/>
          <w:left w:val="single" w:color="B7C6D9" w:sz="4"/>
          <w:bottom w:val="single" w:color="B7C6D9" w:sz="4"/>
          <w:right w:val="single" w:color="B7C6D9" w:sz="4"/>
          <w:insideH w:val="single" w:color="B7C6D9" w:sz="4"/>
          <w:insideV w:val="single" w:color="B7C6D9" w:sz="4"/>
        </w:tblBorders>
      </w:tblPr>
      <w:tblGrid>
        <w:gridCol w:w="9800"/>
      </w:tblGrid>
      <w:tr>
        <w:tc>
          <w:tcPr>
            <w:tcW w:type="dxa" w:w="9800"/>
            <w:shd w:fill="EAF1F8" w:val="clear"/>
            <w:tcMar>
              <w:top w:type="dxa" w:w="160"/>
              <w:left w:type="dxa" w:w="200"/>
              <w:bottom w:type="dxa" w:w="160"/>
              <w:right w:type="dxa" w:w="200"/>
            </w:tcMar>
          </w:tcPr>
          <w:p>
            <w:pPr>
              <w:spacing w:after="80"/>
            </w:pPr>
            <w:r>
              <w:rPr>
                <w:rFonts w:ascii="맑은 고딕" w:cs="맑은 고딕" w:eastAsia="맑은 고딕" w:hAnsi="맑은 고딕"/>
                <w:b/>
                <w:bCs/>
                <w:i w:val="false"/>
                <w:iCs w:val="false"/>
                <w:sz w:val="21"/>
                <w:szCs w:val="21"/>
              </w:rPr>
              <w:t xml:space="preserve">학습 결정: </w:t>
            </w:r>
            <w:r>
              <w:rPr>
                <w:rFonts w:ascii="맑은 고딕" w:cs="맑은 고딕" w:eastAsia="맑은 고딕" w:hAnsi="맑은 고딕"/>
                <w:b/>
                <w:bCs/>
                <w:i w:val="false"/>
                <w:iCs w:val="false"/>
                <w:color w:val="1F4E79"/>
                <w:sz w:val="21"/>
                <w:szCs w:val="21"/>
              </w:rPr>
              <w:t xml:space="preserve">adapt (조건부 채택)</w:t>
            </w:r>
          </w:p>
          <w:p>
            <w:pPr>
              <w:spacing w:after="0"/>
            </w:pPr>
            <w:r>
              <w:rPr>
                <w:rFonts w:ascii="맑은 고딕" w:cs="맑은 고딕" w:eastAsia="맑은 고딕" w:hAnsi="맑은 고딕"/>
                <w:b w:val="false"/>
                <w:bCs w:val="false"/>
                <w:i w:val="false"/>
                <w:iCs w:val="false"/>
                <w:sz w:val="21"/>
                <w:szCs w:val="21"/>
              </w:rPr>
              <w:t xml:space="preserve">헌장의 방향성(PRISM Add-on·무AI·분석패키지·모듈화)과 MVP 설계 원칙은 근거로 뒷받침되어 채택 가능하나, PRISM 기술적 통합 방식(GAP-08)은 의도적으로 미결이고, 8개 패키지 중 6개는 구조적으로 완결(GAP-09 closed)되었으며 신뢰성 패키지는 교체주기 최적화까지 포함해 완결(GAP-10 closed)되었으나, 안전재고 패키지는 여전히 근거등급이 낮은 1차 명세 단계입니다(GAP-11 open(부분)). “사용자 판단을 개선한다”는 효과성 주장과 “제조 현장 전반의 니즈를 파악했다”는 일반화 주장은 여전히 hold(보류) 상태입니다.</w:t>
            </w:r>
          </w:p>
        </w:tc>
      </w:tr>
    </w:tbl>
    <w:p>
      <w:pPr>
        <w:spacing w:after="200"/>
      </w:pPr>
      <w:r>
        <w:rPr>
          <w:rFonts w:ascii="맑은 고딕" w:cs="맑은 고딕" w:eastAsia="맑은 고딕" w:hAnsi="맑은 고딕"/>
          <w:b w:val="false"/>
          <w:bCs w:val="false"/>
          <w:i w:val="false"/>
          <w:iCs w:val="false"/>
          <w:sz w:val="21"/>
          <w:szCs w:val="21"/>
        </w:rPr>
        <w:t xml:space="preserve"> </w:t>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연구 범위와 방법</w:t>
      </w:r>
    </w:p>
    <w:p>
      <w:pPr>
        <w:spacing w:after="160"/>
      </w:pPr>
      <w:r>
        <w:rPr>
          <w:rFonts w:ascii="맑은 고딕" w:cs="맑은 고딕" w:eastAsia="맑은 고딕" w:hAnsi="맑은 고딕"/>
          <w:b w:val="false"/>
          <w:bCs w:val="false"/>
          <w:i w:val="false"/>
          <w:iCs w:val="false"/>
          <w:sz w:val="21"/>
          <w:szCs w:val="21"/>
        </w:rPr>
        <w:t xml:space="preserve">Research_Charter.md의 목표 G1~G11을 대상으로 다음을 수행했습니다.</w:t>
      </w:r>
    </w:p>
    <w:p>
      <w:pPr>
        <w:pStyle w:val="ListParagraph"/>
        <w:numPr>
          <w:ilvl w:val="0"/>
          <w:numId w:val="2"/>
        </w:numPr>
        <w:spacing w:after="140"/>
      </w:pPr>
      <w:r>
        <w:rPr>
          <w:rFonts w:ascii="맑은 고딕" w:cs="맑은 고딕" w:eastAsia="맑은 고딕" w:hAnsi="맑은 고딕"/>
          <w:sz w:val="21"/>
          <w:szCs w:val="21"/>
        </w:rPr>
        <w:t xml:space="preserve">문헌 스캔 154건 (SRC-000~154)</w:t>
      </w:r>
    </w:p>
    <w:p>
      <w:pPr>
        <w:pStyle w:val="ListParagraph"/>
        <w:numPr>
          <w:ilvl w:val="0"/>
          <w:numId w:val="2"/>
        </w:numPr>
        <w:spacing w:after="140"/>
      </w:pPr>
      <w:r>
        <w:rPr>
          <w:rFonts w:ascii="맑은 고딕" w:cs="맑은 고딕" w:eastAsia="맑은 고딕" w:hAnsi="맑은 고딕"/>
          <w:sz w:val="21"/>
          <w:szCs w:val="21"/>
        </w:rPr>
        <w:t xml:space="preserve">실제 현장 1:1 인터뷰 1건 (CASE-001, Ian 본인)</w:t>
      </w:r>
    </w:p>
    <w:p>
      <w:pPr>
        <w:pStyle w:val="ListParagraph"/>
        <w:numPr>
          <w:ilvl w:val="0"/>
          <w:numId w:val="2"/>
        </w:numPr>
        <w:spacing w:after="140"/>
      </w:pPr>
      <w:r>
        <w:rPr>
          <w:rFonts w:ascii="맑은 고딕" w:cs="맑은 고딕" w:eastAsia="맑은 고딕" w:hAnsi="맑은 고딕"/>
          <w:sz w:val="21"/>
          <w:szCs w:val="21"/>
        </w:rPr>
        <w:t xml:space="preserve">산업공통 사례 문헌조사 7건 (CASE-002~008)</w:t>
      </w:r>
    </w:p>
    <w:p>
      <w:pPr>
        <w:pStyle w:val="ListParagraph"/>
        <w:numPr>
          <w:ilvl w:val="0"/>
          <w:numId w:val="2"/>
        </w:numPr>
        <w:spacing w:after="140"/>
      </w:pPr>
      <w:r>
        <w:rPr>
          <w:rFonts w:ascii="맑은 고딕" w:cs="맑은 고딕" w:eastAsia="맑은 고딕" w:hAnsi="맑은 고딕"/>
          <w:sz w:val="21"/>
          <w:szCs w:val="21"/>
        </w:rPr>
        <w:t xml:space="preserve">Navigator 결정로직 3단계 자체검토(이론감사 → 자기비판적 재검토 → 몬테카를로 시뮬레이션) 및 v2 재설계 후 9개 시나리오 셀프 드라이런(RUN-019)</w:t>
      </w:r>
    </w:p>
    <w:p>
      <w:pPr>
        <w:pStyle w:val="ListParagraph"/>
        <w:numPr>
          <w:ilvl w:val="0"/>
          <w:numId w:val="2"/>
        </w:numPr>
        <w:spacing w:after="140"/>
      </w:pPr>
      <w:r>
        <w:rPr>
          <w:rFonts w:ascii="맑은 고딕" w:cs="맑은 고딕" w:eastAsia="맑은 고딕" w:hAnsi="맑은 고딕"/>
          <w:sz w:val="21"/>
          <w:szCs w:val="21"/>
        </w:rPr>
        <w:t xml:space="preserve">MVP 범위와 Case Library의 커버리지 대조</w:t>
      </w:r>
    </w:p>
    <w:p>
      <w:pPr>
        <w:pStyle w:val="ListParagraph"/>
        <w:numPr>
          <w:ilvl w:val="0"/>
          <w:numId w:val="2"/>
        </w:numPr>
        <w:spacing w:after="140"/>
      </w:pPr>
      <w:r>
        <w:rPr>
          <w:rFonts w:ascii="맑은 고딕" w:cs="맑은 고딕" w:eastAsia="맑은 고딕" w:hAnsi="맑은 고딕"/>
          <w:sz w:val="21"/>
          <w:szCs w:val="21"/>
        </w:rPr>
        <w:t xml:space="preserve">8개 분석 패키지를 원자 모듈 약 29개로 재구성·검증(DEC-010)</w:t>
      </w:r>
    </w:p>
    <w:p>
      <w:pPr>
        <w:pStyle w:val="ListParagraph"/>
        <w:numPr>
          <w:ilvl w:val="0"/>
          <w:numId w:val="2"/>
        </w:numPr>
        <w:spacing w:after="140"/>
      </w:pPr>
      <w:r>
        <w:rPr>
          <w:rFonts w:ascii="맑은 고딕" w:cs="맑은 고딕" w:eastAsia="맑은 고딕" w:hAnsi="맑은 고딕"/>
          <w:sz w:val="21"/>
          <w:szCs w:val="21"/>
        </w:rPr>
        <w:t xml:space="preserve">해석 템플릿 전수 커버리지 매트릭스 작성(DEC-013)</w:t>
      </w:r>
    </w:p>
    <w:p>
      <w:pPr>
        <w:spacing w:after="160"/>
      </w:pPr>
      <w:r>
        <w:rPr>
          <w:rFonts w:ascii="맑은 고딕" w:cs="맑은 고딕" w:eastAsia="맑은 고딕" w:hAnsi="맑은 고딕"/>
          <w:b w:val="false"/>
          <w:bCs w:val="false"/>
          <w:i/>
          <w:iCs/>
          <w:color w:val="555555"/>
          <w:sz w:val="19"/>
          <w:szCs w:val="19"/>
        </w:rPr>
        <w:t xml:space="preserve">독립 통계전문가 리뷰는 전문가 부재로 waived 처리되었고(DEC-006), Claude의 자체 검토가 명시적 대체 통제수단으로 채택되었습니다.</w:t>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연구질문(RQ)별 결과</w:t>
      </w:r>
    </w:p>
    <w:tbl>
      <w:tblPr>
        <w:tblW w:type="dxa" w:w="9800"/>
        <w:tblBorders>
          <w:top w:val="single" w:color="B7C6D9" w:sz="4"/>
          <w:left w:val="single" w:color="B7C6D9" w:sz="4"/>
          <w:bottom w:val="single" w:color="B7C6D9" w:sz="4"/>
          <w:right w:val="single" w:color="B7C6D9" w:sz="4"/>
          <w:insideH w:val="single" w:color="B7C6D9" w:sz="4"/>
          <w:insideV w:val="single" w:color="B7C6D9" w:sz="4"/>
        </w:tblBorders>
      </w:tblPr>
      <w:tblGrid>
        <w:gridCol w:w="900"/>
        <w:gridCol w:w="2200"/>
        <w:gridCol w:w="4600"/>
        <w:gridCol w:w="2100"/>
      </w:tblGrid>
      <w:tr>
        <w:trPr>
          <w:tblHeader/>
        </w:trPr>
        <w:tc>
          <w:tcPr>
            <w:tcW w:type="dxa" w:w="900"/>
            <w:shd w:fill="1F4E79" w:val="clear"/>
            <w:tcMar>
              <w:top w:type="dxa" w:w="80"/>
              <w:left w:type="dxa" w:w="100"/>
              <w:bottom w:type="dxa" w:w="80"/>
              <w:right w:type="dxa" w:w="100"/>
            </w:tcMar>
            <w:vAlign w:val="center"/>
          </w:tcPr>
          <w:p>
            <w:r>
              <w:rPr>
                <w:rFonts w:ascii="맑은 고딕" w:cs="맑은 고딕" w:eastAsia="맑은 고딕" w:hAnsi="맑은 고딕"/>
                <w:b/>
                <w:bCs/>
                <w:color w:val="FFFFFF"/>
                <w:sz w:val="19"/>
                <w:szCs w:val="19"/>
              </w:rPr>
              <w:t xml:space="preserve">RQ</w:t>
            </w:r>
          </w:p>
        </w:tc>
        <w:tc>
          <w:tcPr>
            <w:tcW w:type="dxa" w:w="2200"/>
            <w:shd w:fill="1F4E79" w:val="clear"/>
            <w:tcMar>
              <w:top w:type="dxa" w:w="80"/>
              <w:left w:type="dxa" w:w="100"/>
              <w:bottom w:type="dxa" w:w="80"/>
              <w:right w:type="dxa" w:w="100"/>
            </w:tcMar>
            <w:vAlign w:val="center"/>
          </w:tcPr>
          <w:p>
            <w:r>
              <w:rPr>
                <w:rFonts w:ascii="맑은 고딕" w:cs="맑은 고딕" w:eastAsia="맑은 고딕" w:hAnsi="맑은 고딕"/>
                <w:b/>
                <w:bCs/>
                <w:color w:val="FFFFFF"/>
                <w:sz w:val="19"/>
                <w:szCs w:val="19"/>
              </w:rPr>
              <w:t xml:space="preserve">질문 요약</w:t>
            </w:r>
          </w:p>
        </w:tc>
        <w:tc>
          <w:tcPr>
            <w:tcW w:type="dxa" w:w="4600"/>
            <w:shd w:fill="1F4E79" w:val="clear"/>
            <w:tcMar>
              <w:top w:type="dxa" w:w="80"/>
              <w:left w:type="dxa" w:w="100"/>
              <w:bottom w:type="dxa" w:w="80"/>
              <w:right w:type="dxa" w:w="100"/>
            </w:tcMar>
            <w:vAlign w:val="center"/>
          </w:tcPr>
          <w:p>
            <w:r>
              <w:rPr>
                <w:rFonts w:ascii="맑은 고딕" w:cs="맑은 고딕" w:eastAsia="맑은 고딕" w:hAnsi="맑은 고딕"/>
                <w:b/>
                <w:bCs/>
                <w:color w:val="FFFFFF"/>
                <w:sz w:val="19"/>
                <w:szCs w:val="19"/>
              </w:rPr>
              <w:t xml:space="preserve">상태</w:t>
            </w:r>
          </w:p>
        </w:tc>
        <w:tc>
          <w:tcPr>
            <w:tcW w:type="dxa" w:w="2100"/>
            <w:shd w:fill="1F4E79" w:val="clear"/>
            <w:tcMar>
              <w:top w:type="dxa" w:w="80"/>
              <w:left w:type="dxa" w:w="100"/>
              <w:bottom w:type="dxa" w:w="80"/>
              <w:right w:type="dxa" w:w="100"/>
            </w:tcMar>
            <w:vAlign w:val="center"/>
          </w:tcPr>
          <w:p>
            <w:r>
              <w:rPr>
                <w:rFonts w:ascii="맑은 고딕" w:cs="맑은 고딕" w:eastAsia="맑은 고딕" w:hAnsi="맑은 고딕"/>
                <w:b/>
                <w:bCs/>
                <w:color w:val="FFFFFF"/>
                <w:sz w:val="19"/>
                <w:szCs w:val="19"/>
              </w:rPr>
              <w:t xml:space="preserve">핵심 근거</w:t>
            </w:r>
          </w:p>
        </w:tc>
      </w:tr>
      <w:tr>
        <w:tc>
          <w:tcPr>
            <w:tcW w:type="dxa" w:w="9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RQ-01</w:t>
            </w:r>
          </w:p>
        </w:tc>
        <w:tc>
          <w:tcPr>
            <w:tcW w:type="dxa" w:w="22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기존 도구 실패 유형</w:t>
            </w:r>
          </w:p>
        </w:tc>
        <w:tc>
          <w:tcPr>
            <w:tcW w:type="dxa" w:w="4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hold — 1차 조사 없음(CASE-001이 부분 시사: 습관적 판단이 실패라기보다 “인식 부재”)</w:t>
            </w:r>
          </w:p>
        </w:tc>
        <w:tc>
          <w:tcPr>
            <w:tcW w:type="dxa" w:w="21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FND-07</w:t>
            </w:r>
          </w:p>
        </w:tc>
      </w:tr>
      <w:tr>
        <w:tc>
          <w:tcPr>
            <w:tcW w:type="dxa" w:w="9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RQ-02</w:t>
            </w:r>
          </w:p>
        </w:tc>
        <w:tc>
          <w:tcPr>
            <w:tcW w:type="dxa" w:w="22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Navigator 통계적 타당성</w:t>
            </w:r>
          </w:p>
        </w:tc>
        <w:tc>
          <w:tcPr>
            <w:tcW w:type="dxa" w:w="46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완료(self-reviewed+시뮬레이션 정량화+v2 드라이런) — 7개 위험 식별, 4개 정량화, v2 UX 재설계 후 설계결함 2건 추가 발견·수정</w:t>
            </w:r>
          </w:p>
        </w:tc>
        <w:tc>
          <w:tcPr>
            <w:tcW w:type="dxa" w:w="21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FND-09,10 / CLM-21~27 / RUN-019</w:t>
            </w:r>
          </w:p>
        </w:tc>
      </w:tr>
      <w:tr>
        <w:tc>
          <w:tcPr>
            <w:tcW w:type="dxa" w:w="9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RQ-03/08</w:t>
            </w:r>
          </w:p>
        </w:tc>
        <w:tc>
          <w:tcPr>
            <w:tcW w:type="dxa" w:w="22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효과크기·유의성 UI</w:t>
            </w:r>
          </w:p>
        </w:tc>
        <w:tc>
          <w:tcPr>
            <w:tcW w:type="dxa" w:w="4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observed(문헌), 실증 전 — 8개 패키지 해석템플릿에 효과크기등급 3단계(작음/중간/큼) 반영 완료</w:t>
            </w:r>
          </w:p>
        </w:tc>
        <w:tc>
          <w:tcPr>
            <w:tcW w:type="dxa" w:w="21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CLM-02,03</w:t>
            </w:r>
          </w:p>
        </w:tc>
      </w:tr>
      <w:tr>
        <w:tc>
          <w:tcPr>
            <w:tcW w:type="dxa" w:w="9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RQ-04</w:t>
            </w:r>
          </w:p>
        </w:tc>
        <w:tc>
          <w:tcPr>
            <w:tcW w:type="dxa" w:w="22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해석 신뢰성(LLM 전제 → 결정론적 템플릿 재정의)</w:t>
            </w:r>
          </w:p>
        </w:tc>
        <w:tc>
          <w:tcPr>
            <w:tcW w:type="dxa" w:w="46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완료(구조적 커버리지) — GAP-09로 전수화, 실사용자 문구검증은 GAP-02/05로 이관</w:t>
            </w:r>
          </w:p>
        </w:tc>
        <w:tc>
          <w:tcPr>
            <w:tcW w:type="dxa" w:w="21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CLM-04 / GAP09 매트릭스</w:t>
            </w:r>
          </w:p>
        </w:tc>
      </w:tr>
      <w:tr>
        <w:tc>
          <w:tcPr>
            <w:tcW w:type="dxa" w:w="9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RQ-05</w:t>
            </w:r>
          </w:p>
        </w:tc>
        <w:tc>
          <w:tcPr>
            <w:tcW w:type="dxa" w:w="22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검정선택 UX 패턴</w:t>
            </w:r>
          </w:p>
        </w:tc>
        <w:tc>
          <w:tcPr>
            <w:tcW w:type="dxa" w:w="4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observed(문헌)</w:t>
            </w:r>
          </w:p>
        </w:tc>
        <w:tc>
          <w:tcPr>
            <w:tcW w:type="dxa" w:w="21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CLM-01</w:t>
            </w:r>
          </w:p>
        </w:tc>
      </w:tr>
      <w:tr>
        <w:tc>
          <w:tcPr>
            <w:tcW w:type="dxa" w:w="9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RQ-06</w:t>
            </w:r>
          </w:p>
        </w:tc>
        <w:tc>
          <w:tcPr>
            <w:tcW w:type="dxa" w:w="22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데이터 품질 게이트</w:t>
            </w:r>
          </w:p>
        </w:tc>
        <w:tc>
          <w:tcPr>
            <w:tcW w:type="dxa" w:w="46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observed(설계 대조) — M-DATA-PROFILE “항상 확인질문” 원칙(DEC-011)으로 구체화</w:t>
            </w:r>
          </w:p>
        </w:tc>
        <w:tc>
          <w:tcPr>
            <w:tcW w:type="dxa" w:w="21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CLM-05</w:t>
            </w:r>
          </w:p>
        </w:tc>
      </w:tr>
      <w:tr>
        <w:tc>
          <w:tcPr>
            <w:tcW w:type="dxa" w:w="9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RQ-07</w:t>
            </w:r>
          </w:p>
        </w:tc>
        <w:tc>
          <w:tcPr>
            <w:tcW w:type="dxa" w:w="22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MVP 범위 충분성</w:t>
            </w:r>
          </w:p>
        </w:tc>
        <w:tc>
          <w:tcPr>
            <w:tcW w:type="dxa" w:w="4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완료 — Phase1 원안 기준 완전커버 0/8이었으나, 8개 패키지 기준 재검토 결과(RUN-024) 8개 사례 전부 대응 패키지 보유로 확인</w:t>
            </w:r>
          </w:p>
        </w:tc>
        <w:tc>
          <w:tcPr>
            <w:tcW w:type="dxa" w:w="21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FND-11,13 / CLM-28,29</w:t>
            </w:r>
          </w:p>
        </w:tc>
      </w:tr>
      <w:tr>
        <w:tc>
          <w:tcPr>
            <w:tcW w:type="dxa" w:w="9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RQ-09</w:t>
            </w:r>
          </w:p>
        </w:tc>
        <w:tc>
          <w:tcPr>
            <w:tcW w:type="dxa" w:w="22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공개 조립라인 사례 시사점</w:t>
            </w:r>
          </w:p>
        </w:tc>
        <w:tc>
          <w:tcPr>
            <w:tcW w:type="dxa" w:w="46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observed(문헌)</w:t>
            </w:r>
          </w:p>
        </w:tc>
        <w:tc>
          <w:tcPr>
            <w:tcW w:type="dxa" w:w="21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CLM-07,08</w:t>
            </w:r>
          </w:p>
        </w:tc>
      </w:tr>
      <w:tr>
        <w:tc>
          <w:tcPr>
            <w:tcW w:type="dxa" w:w="9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RQ-10</w:t>
            </w:r>
          </w:p>
        </w:tc>
        <w:tc>
          <w:tcPr>
            <w:tcW w:type="dxa" w:w="22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실제 사내 니즈(최우선)</w:t>
            </w:r>
          </w:p>
        </w:tc>
        <w:tc>
          <w:tcPr>
            <w:tcW w:type="dxa" w:w="4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observed(1건) — 일반화는 여전히 금지</w:t>
            </w:r>
          </w:p>
        </w:tc>
        <w:tc>
          <w:tcPr>
            <w:tcW w:type="dxa" w:w="21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FND-05~08 / CLM-09,11~13</w:t>
            </w:r>
          </w:p>
        </w:tc>
      </w:tr>
      <w:tr>
        <w:tc>
          <w:tcPr>
            <w:tcW w:type="dxa" w:w="9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RQ-11</w:t>
            </w:r>
          </w:p>
        </w:tc>
        <w:tc>
          <w:tcPr>
            <w:tcW w:type="dxa" w:w="22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신뢰성/재고관리 통계의 가치</w:t>
            </w:r>
          </w:p>
        </w:tc>
        <w:tc>
          <w:tcPr>
            <w:tcW w:type="dxa" w:w="46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신뢰성 완료(GAP-10 closed), 안전재고 1차 설계(GAP-11 open(부분)) — Ian이 두 영역 모두 착수를 직접 결정(DEC-012)</w:t>
            </w:r>
          </w:p>
        </w:tc>
        <w:tc>
          <w:tcPr>
            <w:tcW w:type="dxa" w:w="21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CLM-14,15,41~48</w:t>
            </w:r>
          </w:p>
        </w:tc>
      </w:tr>
      <w:tr>
        <w:tc>
          <w:tcPr>
            <w:tcW w:type="dxa" w:w="9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RQ-12</w:t>
            </w:r>
          </w:p>
        </w:tc>
        <w:tc>
          <w:tcPr>
            <w:tcW w:type="dxa" w:w="22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산업공통 5대주제 사례</w:t>
            </w:r>
          </w:p>
        </w:tc>
        <w:tc>
          <w:tcPr>
            <w:tcW w:type="dxa" w:w="4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observed(문헌수준), CASE-001과 정성적 일치 확인 — SIAM 사례집(SRC-140)이 통계 도메인 콘텐츠 관점에서도 “연계 분석” 개념 뒷받침</w:t>
            </w:r>
          </w:p>
        </w:tc>
        <w:tc>
          <w:tcPr>
            <w:tcW w:type="dxa" w:w="21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CLM-16~20,39</w:t>
            </w:r>
          </w:p>
        </w:tc>
      </w:tr>
    </w:tbl>
    <w:p>
      <w:pPr>
        <w:spacing w:after="100"/>
      </w:pPr>
      <w:r>
        <w:rPr>
          <w:rFonts w:ascii="맑은 고딕" w:cs="맑은 고딕" w:eastAsia="맑은 고딕" w:hAnsi="맑은 고딕"/>
          <w:b w:val="false"/>
          <w:bCs w:val="false"/>
          <w:i w:val="false"/>
          <w:iCs w:val="false"/>
          <w:sz w:val="21"/>
          <w:szCs w:val="21"/>
        </w:rPr>
        <w:t xml:space="preserve"> </w:t>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분석 패키지 현황 (8개)</w:t>
      </w:r>
    </w:p>
    <w:p>
      <w:pPr>
        <w:spacing w:after="160"/>
      </w:pPr>
      <w:r>
        <w:rPr>
          <w:rFonts w:ascii="맑은 고딕" w:cs="맑은 고딕" w:eastAsia="맑은 고딕" w:hAnsi="맑은 고딕"/>
          <w:b w:val="false"/>
          <w:bCs w:val="false"/>
          <w:i w:val="false"/>
          <w:iCs w:val="false"/>
          <w:sz w:val="21"/>
          <w:szCs w:val="21"/>
        </w:rPr>
        <w:t xml:space="preserve">품질/공정 통계 6개 패키지는 구조적 완전성이 확인되었고(GAP-09 closed), 도메인 확장 2개 패키지(신뢰성·안전재고)는 Ian이 직접 착수를 결정했습니다(DEC-012).</w:t>
      </w:r>
    </w:p>
    <w:tbl>
      <w:tblPr>
        <w:tblW w:type="dxa" w:w="9800"/>
        <w:tblBorders>
          <w:top w:val="single" w:color="B7C6D9" w:sz="4"/>
          <w:left w:val="single" w:color="B7C6D9" w:sz="4"/>
          <w:bottom w:val="single" w:color="B7C6D9" w:sz="4"/>
          <w:right w:val="single" w:color="B7C6D9" w:sz="4"/>
          <w:insideH w:val="single" w:color="B7C6D9" w:sz="4"/>
          <w:insideV w:val="single" w:color="B7C6D9" w:sz="4"/>
        </w:tblBorders>
      </w:tblPr>
      <w:tblGrid>
        <w:gridCol w:w="3400"/>
        <w:gridCol w:w="1400"/>
        <w:gridCol w:w="3600"/>
        <w:gridCol w:w="1400"/>
      </w:tblGrid>
      <w:tr>
        <w:trPr>
          <w:tblHeader/>
        </w:trPr>
        <w:tc>
          <w:tcPr>
            <w:tcW w:type="dxa" w:w="3400"/>
            <w:shd w:fill="1F4E79" w:val="clear"/>
            <w:tcMar>
              <w:top w:type="dxa" w:w="80"/>
              <w:left w:type="dxa" w:w="100"/>
              <w:bottom w:type="dxa" w:w="80"/>
              <w:right w:type="dxa" w:w="100"/>
            </w:tcMar>
            <w:vAlign w:val="center"/>
          </w:tcPr>
          <w:p>
            <w:r>
              <w:rPr>
                <w:rFonts w:ascii="맑은 고딕" w:cs="맑은 고딕" w:eastAsia="맑은 고딕" w:hAnsi="맑은 고딕"/>
                <w:b/>
                <w:bCs/>
                <w:color w:val="FFFFFF"/>
                <w:sz w:val="19"/>
                <w:szCs w:val="19"/>
              </w:rPr>
              <w:t xml:space="preserve">분석 패키지</w:t>
            </w:r>
          </w:p>
        </w:tc>
        <w:tc>
          <w:tcPr>
            <w:tcW w:type="dxa" w:w="1400"/>
            <w:shd w:fill="1F4E79" w:val="clear"/>
            <w:tcMar>
              <w:top w:type="dxa" w:w="80"/>
              <w:left w:type="dxa" w:w="100"/>
              <w:bottom w:type="dxa" w:w="80"/>
              <w:right w:type="dxa" w:w="100"/>
            </w:tcMar>
            <w:vAlign w:val="center"/>
          </w:tcPr>
          <w:p>
            <w:r>
              <w:rPr>
                <w:rFonts w:ascii="맑은 고딕" w:cs="맑은 고딕" w:eastAsia="맑은 고딕" w:hAnsi="맑은 고딕"/>
                <w:b/>
                <w:bCs/>
                <w:color w:val="FFFFFF"/>
                <w:sz w:val="19"/>
                <w:szCs w:val="19"/>
              </w:rPr>
              <w:t xml:space="preserve">구분</w:t>
            </w:r>
          </w:p>
        </w:tc>
        <w:tc>
          <w:tcPr>
            <w:tcW w:type="dxa" w:w="3600"/>
            <w:shd w:fill="1F4E79" w:val="clear"/>
            <w:tcMar>
              <w:top w:type="dxa" w:w="80"/>
              <w:left w:type="dxa" w:w="100"/>
              <w:bottom w:type="dxa" w:w="80"/>
              <w:right w:type="dxa" w:w="100"/>
            </w:tcMar>
            <w:vAlign w:val="center"/>
          </w:tcPr>
          <w:p>
            <w:r>
              <w:rPr>
                <w:rFonts w:ascii="맑은 고딕" w:cs="맑은 고딕" w:eastAsia="맑은 고딕" w:hAnsi="맑은 고딕"/>
                <w:b/>
                <w:bCs/>
                <w:color w:val="FFFFFF"/>
                <w:sz w:val="19"/>
                <w:szCs w:val="19"/>
              </w:rPr>
              <w:t xml:space="preserve">완성도</w:t>
            </w:r>
          </w:p>
        </w:tc>
        <w:tc>
          <w:tcPr>
            <w:tcW w:type="dxa" w:w="1400"/>
            <w:shd w:fill="1F4E79" w:val="clear"/>
            <w:tcMar>
              <w:top w:type="dxa" w:w="80"/>
              <w:left w:type="dxa" w:w="100"/>
              <w:bottom w:type="dxa" w:w="80"/>
              <w:right w:type="dxa" w:w="100"/>
            </w:tcMar>
            <w:vAlign w:val="center"/>
          </w:tcPr>
          <w:p>
            <w:r>
              <w:rPr>
                <w:rFonts w:ascii="맑은 고딕" w:cs="맑은 고딕" w:eastAsia="맑은 고딕" w:hAnsi="맑은 고딕"/>
                <w:b/>
                <w:bCs/>
                <w:color w:val="FFFFFF"/>
                <w:sz w:val="19"/>
                <w:szCs w:val="19"/>
              </w:rPr>
              <w:t xml:space="preserve">대응 사례</w:t>
            </w:r>
          </w:p>
        </w:tc>
      </w:tr>
      <w:tr>
        <w:tc>
          <w:tcPr>
            <w:tcW w:type="dxa" w:w="34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결과검증 (ResultVerification)</w:t>
            </w:r>
          </w:p>
        </w:tc>
        <w:tc>
          <w:tcPr>
            <w:tcW w:type="dxa" w:w="1400"/>
            <w:shd w:fill="FFFFFF"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품질/공정</w:t>
            </w:r>
          </w:p>
        </w:tc>
        <w:tc>
          <w:tcPr>
            <w:tcW w:type="dxa" w:w="3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완전(GAP-09 구조적 완전성)</w:t>
            </w:r>
          </w:p>
        </w:tc>
        <w:tc>
          <w:tcPr>
            <w:tcW w:type="dxa" w:w="1400"/>
            <w:shd w:fill="FFFFFF"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CASE-001,007</w:t>
            </w:r>
          </w:p>
        </w:tc>
      </w:tr>
      <w:tr>
        <w:tc>
          <w:tcPr>
            <w:tcW w:type="dxa" w:w="3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원인분석 (RootCause)</w:t>
            </w:r>
          </w:p>
        </w:tc>
        <w:tc>
          <w:tcPr>
            <w:tcW w:type="dxa" w:w="1400"/>
            <w:shd w:fill="EAF1F8"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품질/공정</w:t>
            </w:r>
          </w:p>
        </w:tc>
        <w:tc>
          <w:tcPr>
            <w:tcW w:type="dxa" w:w="36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완전(GAP-09 구조적 완전성, 다중비교 보정 포함)</w:t>
            </w:r>
          </w:p>
        </w:tc>
        <w:tc>
          <w:tcPr>
            <w:tcW w:type="dxa" w:w="1400"/>
            <w:shd w:fill="EAF1F8"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CASE-005</w:t>
            </w:r>
          </w:p>
        </w:tc>
      </w:tr>
      <w:tr>
        <w:tc>
          <w:tcPr>
            <w:tcW w:type="dxa" w:w="34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핵심요인분석 (KeyFactor)</w:t>
            </w:r>
          </w:p>
        </w:tc>
        <w:tc>
          <w:tcPr>
            <w:tcW w:type="dxa" w:w="1400"/>
            <w:shd w:fill="FFFFFF"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품질/공정</w:t>
            </w:r>
          </w:p>
        </w:tc>
        <w:tc>
          <w:tcPr>
            <w:tcW w:type="dxa" w:w="3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완전(GAP-09 구조적 완전성)</w:t>
            </w:r>
          </w:p>
        </w:tc>
        <w:tc>
          <w:tcPr>
            <w:tcW w:type="dxa" w:w="1400"/>
            <w:shd w:fill="FFFFFF"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CASE-006</w:t>
            </w:r>
          </w:p>
        </w:tc>
      </w:tr>
      <w:tr>
        <w:tc>
          <w:tcPr>
            <w:tcW w:type="dxa" w:w="3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MSA</w:t>
            </w:r>
          </w:p>
        </w:tc>
        <w:tc>
          <w:tcPr>
            <w:tcW w:type="dxa" w:w="1400"/>
            <w:shd w:fill="EAF1F8"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품질/공정</w:t>
            </w:r>
          </w:p>
        </w:tc>
        <w:tc>
          <w:tcPr>
            <w:tcW w:type="dxa" w:w="36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완전(GAP-09 구조적 완전성)</w:t>
            </w:r>
          </w:p>
        </w:tc>
        <w:tc>
          <w:tcPr>
            <w:tcW w:type="dxa" w:w="1400"/>
            <w:shd w:fill="EAF1F8"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CASE-004</w:t>
            </w:r>
          </w:p>
        </w:tc>
      </w:tr>
      <w:tr>
        <w:tc>
          <w:tcPr>
            <w:tcW w:type="dxa" w:w="34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유지관리 (Maintenance)</w:t>
            </w:r>
          </w:p>
        </w:tc>
        <w:tc>
          <w:tcPr>
            <w:tcW w:type="dxa" w:w="1400"/>
            <w:shd w:fill="FFFFFF"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품질/공정</w:t>
            </w:r>
          </w:p>
        </w:tc>
        <w:tc>
          <w:tcPr>
            <w:tcW w:type="dxa" w:w="3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완전(Western Electric Rules 4종, 목록형 조립 재설계)</w:t>
            </w:r>
          </w:p>
        </w:tc>
        <w:tc>
          <w:tcPr>
            <w:tcW w:type="dxa" w:w="1400"/>
            <w:shd w:fill="FFFFFF"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CASE-008</w:t>
            </w:r>
          </w:p>
        </w:tc>
      </w:tr>
      <w:tr>
        <w:tc>
          <w:tcPr>
            <w:tcW w:type="dxa" w:w="3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예방적비교 (ProactiveComparison)</w:t>
            </w:r>
          </w:p>
        </w:tc>
        <w:tc>
          <w:tcPr>
            <w:tcW w:type="dxa" w:w="1400"/>
            <w:shd w:fill="EAF1F8"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품질/공정</w:t>
            </w:r>
          </w:p>
        </w:tc>
        <w:tc>
          <w:tcPr>
            <w:tcW w:type="dxa" w:w="36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완전(신규 모듈 0개로 조합)</w:t>
            </w:r>
          </w:p>
        </w:tc>
        <w:tc>
          <w:tcPr>
            <w:tcW w:type="dxa" w:w="1400"/>
            <w:shd w:fill="EAF1F8"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CASE-001</w:t>
            </w:r>
          </w:p>
        </w:tc>
      </w:tr>
      <w:tr>
        <w:tc>
          <w:tcPr>
            <w:tcW w:type="dxa" w:w="3400"/>
            <w:shd w:fill="FFFFFF"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신뢰성 (Reliability / Weibull)</w:t>
            </w:r>
          </w:p>
        </w:tc>
        <w:tc>
          <w:tcPr>
            <w:tcW w:type="dxa" w:w="1400"/>
            <w:shd w:fill="FFFFFF"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도메인 확장</w:t>
            </w:r>
          </w:p>
        </w:tc>
        <w:tc>
          <w:tcPr>
            <w:tcW w:type="dxa" w:w="3600"/>
            <w:shd w:fill="FFFFFF"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완전 — 교체주기 최적화 포함(GAP-10 closed)</w:t>
            </w:r>
          </w:p>
        </w:tc>
        <w:tc>
          <w:tcPr>
            <w:tcW w:type="dxa" w:w="1400"/>
            <w:shd w:fill="FFFFFF"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CASE-002</w:t>
            </w:r>
          </w:p>
        </w:tc>
      </w:tr>
      <w:tr>
        <w:tc>
          <w:tcPr>
            <w:tcW w:type="dxa" w:w="3400"/>
            <w:shd w:fill="EAF1F8" w:val="clear"/>
            <w:tcMar>
              <w:top w:type="dxa" w:w="80"/>
              <w:left w:type="dxa" w:w="100"/>
              <w:bottom w:type="dxa" w:w="80"/>
              <w:right w:type="dxa" w:w="100"/>
            </w:tcMar>
            <w:vAlign w:val="center"/>
          </w:tcPr>
          <w:p>
            <w:r>
              <w:rPr>
                <w:rFonts w:ascii="맑은 고딕" w:cs="맑은 고딕" w:eastAsia="맑은 고딕" w:hAnsi="맑은 고딕"/>
                <w:b/>
                <w:bCs/>
                <w:sz w:val="19"/>
                <w:szCs w:val="19"/>
              </w:rPr>
              <w:t xml:space="preserve">안전재고 (SafetyStock)</w:t>
            </w:r>
          </w:p>
        </w:tc>
        <w:tc>
          <w:tcPr>
            <w:tcW w:type="dxa" w:w="1400"/>
            <w:shd w:fill="EAF1F8"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도메인 확장</w:t>
            </w:r>
          </w:p>
        </w:tc>
        <w:tc>
          <w:tcPr>
            <w:tcW w:type="dxa" w:w="3600"/>
            <w:shd w:fill="EAF1F8" w:val="clear"/>
            <w:tcMar>
              <w:top w:type="dxa" w:w="80"/>
              <w:left w:type="dxa" w:w="100"/>
              <w:bottom w:type="dxa" w:w="80"/>
              <w:right w:type="dxa" w:w="100"/>
            </w:tcMar>
          </w:tcPr>
          <w:p>
            <w:pPr>
              <w:spacing w:after="40"/>
            </w:pPr>
            <w:r>
              <w:rPr>
                <w:rFonts w:ascii="맑은 고딕" w:cs="맑은 고딕" w:eastAsia="맑은 고딕" w:hAnsi="맑은 고딕"/>
                <w:sz w:val="19"/>
                <w:szCs w:val="19"/>
              </w:rPr>
              <w:t xml:space="preserve">1차 명세 — 근거등급 낮음(GAP-11 open(부분))</w:t>
            </w:r>
          </w:p>
        </w:tc>
        <w:tc>
          <w:tcPr>
            <w:tcW w:type="dxa" w:w="1400"/>
            <w:shd w:fill="EAF1F8" w:val="clear"/>
            <w:tcMar>
              <w:top w:type="dxa" w:w="80"/>
              <w:left w:type="dxa" w:w="100"/>
              <w:bottom w:type="dxa" w:w="80"/>
              <w:right w:type="dxa" w:w="100"/>
            </w:tcMar>
            <w:vAlign w:val="center"/>
          </w:tcPr>
          <w:p>
            <w:r>
              <w:rPr>
                <w:rFonts w:ascii="맑은 고딕" w:cs="맑은 고딕" w:eastAsia="맑은 고딕" w:hAnsi="맑은 고딕"/>
                <w:b w:val="false"/>
                <w:bCs w:val="false"/>
                <w:sz w:val="19"/>
                <w:szCs w:val="19"/>
              </w:rPr>
              <w:t xml:space="preserve">CASE-003</w:t>
            </w:r>
          </w:p>
        </w:tc>
      </w:tr>
    </w:tbl>
    <w:p>
      <w:pPr>
        <w:spacing w:after="100"/>
      </w:pPr>
      <w:r>
        <w:rPr>
          <w:rFonts w:ascii="맑은 고딕" w:cs="맑은 고딕" w:eastAsia="맑은 고딕" w:hAnsi="맑은 고딕"/>
          <w:b w:val="false"/>
          <w:bCs w:val="false"/>
          <w:i w:val="false"/>
          <w:iCs w:val="false"/>
          <w:sz w:val="21"/>
          <w:szCs w:val="21"/>
        </w:rPr>
        <w:t xml:space="preserve"> </w:t>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핵심 발견 (Findings, 우선순위순)</w:t>
      </w:r>
    </w:p>
    <w:p>
      <w:pPr>
        <w:pStyle w:val="ListParagraph"/>
        <w:numPr>
          <w:ilvl w:val="0"/>
          <w:numId w:val="3"/>
        </w:numPr>
        <w:spacing w:after="140"/>
      </w:pPr>
      <w:r>
        <w:rPr>
          <w:rFonts w:ascii="맑은 고딕" w:cs="맑은 고딕" w:eastAsia="맑은 고딕" w:hAnsi="맑은 고딕"/>
          <w:b/>
          <w:bCs/>
          <w:sz w:val="21"/>
          <w:szCs w:val="21"/>
        </w:rPr>
        <w:t xml:space="preserve">“인식 격차”가 “도구 격차”보다 크다. </w:t>
      </w:r>
      <w:r>
        <w:rPr>
          <w:rFonts w:ascii="맑은 고딕" w:cs="맑은 고딕" w:eastAsia="맑은 고딕" w:hAnsi="맑은 고딕"/>
          <w:sz w:val="21"/>
          <w:szCs w:val="21"/>
        </w:rPr>
        <w:t xml:space="preserve">CASE-001에서 Ian은 툴 교환·파라미터 조정을 반복했지만, 이것이 통계적으로 분석 가능한 상황이라는 인식 자체가 없었습니다. Navigator v2의 “스무고개” 재설계(통계 용어 비노출, 상황질문 중심)로 직접 반영되었습니다.</w:t>
      </w:r>
    </w:p>
    <w:p>
      <w:pPr>
        <w:pStyle w:val="ListParagraph"/>
        <w:numPr>
          <w:ilvl w:val="0"/>
          <w:numId w:val="3"/>
        </w:numPr>
        <w:spacing w:after="140"/>
      </w:pPr>
      <w:r>
        <w:rPr>
          <w:rFonts w:ascii="맑은 고딕" w:cs="맑은 고딕" w:eastAsia="맑은 고딕" w:hAnsi="맑은 고딕"/>
          <w:b/>
          <w:bCs/>
          <w:sz w:val="21"/>
          <w:szCs w:val="21"/>
        </w:rPr>
        <w:t xml:space="preserve">Navigator 로직에 7개 오매핑 위험, 그중 4개 정량화. </w:t>
      </w:r>
      <w:r>
        <w:rPr>
          <w:rFonts w:ascii="맑은 고딕" w:cs="맑은 고딕" w:eastAsia="맑은 고딕" w:hAnsi="맑은 고딕"/>
          <w:sz w:val="21"/>
          <w:szCs w:val="21"/>
        </w:rPr>
        <w:t xml:space="preserve">등분산 위반, 다중비교 미보정, 자기상관(가장 심각, rho=0.9에서 63.8%), CLT 견고성. 모두 합성데이터 기준이며 실측 아님. 8개 패키지 전부 가정확인 모듈을 검정 실행보다 먼저 배치.</w:t>
      </w:r>
    </w:p>
    <w:p>
      <w:pPr>
        <w:pStyle w:val="ListParagraph"/>
        <w:numPr>
          <w:ilvl w:val="0"/>
          <w:numId w:val="3"/>
        </w:numPr>
        <w:spacing w:after="140"/>
      </w:pPr>
      <w:r>
        <w:rPr>
          <w:rFonts w:ascii="맑은 고딕" w:cs="맑은 고딕" w:eastAsia="맑은 고딕" w:hAnsi="맑은 고딕"/>
          <w:b/>
          <w:bCs/>
          <w:sz w:val="21"/>
          <w:szCs w:val="21"/>
        </w:rPr>
        <w:t xml:space="preserve">무AI 환경에서 “구조적 완전성”과 “문구 품질”은 서로 다른 검증이다. </w:t>
      </w:r>
      <w:r>
        <w:rPr>
          <w:rFonts w:ascii="맑은 고딕" w:cs="맑은 고딕" w:eastAsia="맑은 고딕" w:hAnsi="맑은 고딕"/>
          <w:sz w:val="21"/>
          <w:szCs w:val="21"/>
        </w:rPr>
        <w:t xml:space="preserve">슬롯을 배타적 핵심분류/접두경고/목록형 조립 3유형으로 분류하면 조합의 전수 커버리지는 결정론적으로 점검 가능하지만(GAP-09), 문구의 실사용자 이해도는 프로토타입 없이는 검증 불가능합니다 — 이 구분을 명확히 한 것이 이번 연구의 방법론적 기여입니다.</w:t>
      </w:r>
    </w:p>
    <w:p>
      <w:pPr>
        <w:pStyle w:val="ListParagraph"/>
        <w:numPr>
          <w:ilvl w:val="0"/>
          <w:numId w:val="3"/>
        </w:numPr>
        <w:spacing w:after="140"/>
      </w:pPr>
      <w:r>
        <w:rPr>
          <w:rFonts w:ascii="맑은 고딕" w:cs="맑은 고딕" w:eastAsia="맑은 고딕" w:hAnsi="맑은 고딕"/>
          <w:b/>
          <w:bCs/>
          <w:sz w:val="21"/>
          <w:szCs w:val="21"/>
        </w:rPr>
        <w:t xml:space="preserve">MVP(Phase1) 구조적 공백 2건 → 해소됨. </w:t>
      </w:r>
      <w:r>
        <w:rPr>
          <w:rFonts w:ascii="맑은 고딕" w:cs="맑은 고딕" w:eastAsia="맑은 고딕" w:hAnsi="맑은 고딕"/>
          <w:sz w:val="21"/>
          <w:szCs w:val="21"/>
        </w:rPr>
        <w:t xml:space="preserve">정규성·등분산 검정, MSA가 모두 원안 Phase1 범위 밖이었으나, 8개 분석 패키지 완성으로 실제 해소되었습니다. 남은 것은 이 기능들을 Phase1/2/3 중 어디에 배치하느냐는 로드맵 질문뿐입니다.</w:t>
      </w:r>
    </w:p>
    <w:p>
      <w:pPr>
        <w:pStyle w:val="ListParagraph"/>
        <w:numPr>
          <w:ilvl w:val="0"/>
          <w:numId w:val="3"/>
        </w:numPr>
        <w:spacing w:after="140"/>
      </w:pPr>
      <w:r>
        <w:rPr>
          <w:rFonts w:ascii="맑은 고딕" w:cs="맑은 고딕" w:eastAsia="맑은 고딕" w:hAnsi="맑은 고딕"/>
          <w:b/>
          <w:bCs/>
          <w:sz w:val="21"/>
          <w:szCs w:val="21"/>
        </w:rPr>
        <w:t xml:space="preserve">Baseline 가정 갱신 필요. </w:t>
      </w:r>
      <w:r>
        <w:rPr>
          <w:rFonts w:ascii="맑은 고딕" w:cs="맑은 고딕" w:eastAsia="맑은 고딕" w:hAnsi="맑은 고딕"/>
          <w:sz w:val="21"/>
          <w:szCs w:val="21"/>
        </w:rPr>
        <w:t xml:space="preserve">CTQ 관리도·공정능력분석은 PRISM이 이미 자동화하고 있어, Add-on의 차별화 지점은 원인분석·개선검증·상황인식·예방적 비교·유지관리(및 신뢰성·안전재고)입니다.</w:t>
      </w:r>
    </w:p>
    <w:p>
      <w:pPr>
        <w:pStyle w:val="ListParagraph"/>
        <w:numPr>
          <w:ilvl w:val="0"/>
          <w:numId w:val="3"/>
        </w:numPr>
        <w:spacing w:after="140"/>
      </w:pPr>
      <w:r>
        <w:rPr>
          <w:rFonts w:ascii="맑은 고딕" w:cs="맑은 고딕" w:eastAsia="맑은 고딕" w:hAnsi="맑은 고딕"/>
          <w:b/>
          <w:bCs/>
          <w:sz w:val="21"/>
          <w:szCs w:val="21"/>
        </w:rPr>
        <w:t xml:space="preserve">사전 예방적 비교 부재 → 반영. </w:t>
      </w:r>
      <w:r>
        <w:rPr>
          <w:rFonts w:ascii="맑은 고딕" w:cs="맑은 고딕" w:eastAsia="맑은 고딕" w:hAnsi="맑은 고딕"/>
          <w:sz w:val="21"/>
          <w:szCs w:val="21"/>
        </w:rPr>
        <w:t xml:space="preserve">ProactiveComparison 패키지로 직접 대응 — 모듈 카탈로그 재사용성을 입증한 시범사례이기도 함(신규 모듈 0개로 조합).</w:t>
      </w:r>
    </w:p>
    <w:p>
      <w:pPr>
        <w:pStyle w:val="ListParagraph"/>
        <w:numPr>
          <w:ilvl w:val="0"/>
          <w:numId w:val="3"/>
        </w:numPr>
        <w:spacing w:after="140"/>
      </w:pPr>
      <w:r>
        <w:rPr>
          <w:rFonts w:ascii="맑은 고딕" w:cs="맑은 고딕" w:eastAsia="맑은 고딕" w:hAnsi="맑은 고딕"/>
          <w:b/>
          <w:bCs/>
          <w:sz w:val="21"/>
          <w:szCs w:val="21"/>
        </w:rPr>
        <w:t xml:space="preserve">CASE-001~008 교차검증. </w:t>
      </w:r>
      <w:r>
        <w:rPr>
          <w:rFonts w:ascii="맑은 고딕" w:cs="맑은 고딕" w:eastAsia="맑은 고딕" w:hAnsi="맑은 고딕"/>
          <w:sz w:val="21"/>
          <w:szCs w:val="21"/>
        </w:rPr>
        <w:t xml:space="preserve">산업공통 문헌 5대 주제(MSA·원인분석·핵심요인분석·결과검증·유지관리) 각각이 CASE-001의 개별 요소와 정성적으로 정확히 대응됩니다 — 이후 “분석 패키지” 개념의 최초 근거가 되었습니다.</w:t>
      </w:r>
    </w:p>
    <w:p>
      <w:pPr>
        <w:pStyle w:val="ListParagraph"/>
        <w:numPr>
          <w:ilvl w:val="0"/>
          <w:numId w:val="3"/>
        </w:numPr>
        <w:spacing w:after="140"/>
      </w:pPr>
      <w:r>
        <w:rPr>
          <w:rFonts w:ascii="맑은 고딕" w:cs="맑은 고딕" w:eastAsia="맑은 고딕" w:hAnsi="맑은 고딕"/>
          <w:b/>
          <w:bCs/>
          <w:sz w:val="21"/>
          <w:szCs w:val="21"/>
        </w:rPr>
        <w:t xml:space="preserve">모듈화 아키텍처가 실제로 새 패키지 조합 비용을 낮춘다. </w:t>
      </w:r>
      <w:r>
        <w:rPr>
          <w:rFonts w:ascii="맑은 고딕" w:cs="맑은 고딕" w:eastAsia="맑은 고딕" w:hAnsi="맑은 고딕"/>
          <w:sz w:val="21"/>
          <w:szCs w:val="21"/>
        </w:rPr>
        <w:t xml:space="preserve">ProactiveComparison 패키지가 신규 모듈 0개로 조합되었고, 신뢰성·안전재고 패키지도 각각 4~5개의 신규 모듈만 추가하면 되었습니다.</w:t>
      </w:r>
    </w:p>
    <w:p>
      <w:pPr>
        <w:pStyle w:val="ListParagraph"/>
        <w:numPr>
          <w:ilvl w:val="0"/>
          <w:numId w:val="3"/>
        </w:numPr>
        <w:spacing w:after="140"/>
      </w:pPr>
      <w:r>
        <w:rPr>
          <w:rFonts w:ascii="맑은 고딕" w:cs="맑은 고딕" w:eastAsia="맑은 고딕" w:hAnsi="맑은 고딕"/>
          <w:b/>
          <w:bCs/>
          <w:sz w:val="21"/>
          <w:szCs w:val="21"/>
        </w:rPr>
        <w:t xml:space="preserve">“구조적 완전성”과 “근거 충분성”은 별개이며, 이 구분을 끝까지 일관되게 유지했다. </w:t>
      </w:r>
      <w:r>
        <w:rPr>
          <w:rFonts w:ascii="맑은 고딕" w:cs="맑은 고딕" w:eastAsia="맑은 고딕" w:hAnsi="맑은 고딕"/>
          <w:sz w:val="21"/>
          <w:szCs w:val="21"/>
        </w:rPr>
        <w:t xml:space="preserve">신뢰성 패키지는 도메인 확장 패키지임에도 “선 문헌조사 → 후 설계” 순서를 지켜 교체주기 최적화까지 완결했습니다(GAP-10 closed). 안전재고 패키지는 실무자료 상호교차검증까지 마쳤음에도 교과서 수준 근거가 없다는 이유로 근거등급을 낮게 유지했습니다.</w:t>
      </w:r>
    </w:p>
    <w:p>
      <w:pPr>
        <w:pStyle w:val="ListParagraph"/>
        <w:numPr>
          <w:ilvl w:val="0"/>
          <w:numId w:val="3"/>
        </w:numPr>
        <w:spacing w:after="140"/>
      </w:pPr>
      <w:r>
        <w:rPr>
          <w:rFonts w:ascii="맑은 고딕" w:cs="맑은 고딕" w:eastAsia="맑은 고딕" w:hAnsi="맑은 고딕"/>
          <w:b/>
          <w:bCs/>
          <w:sz w:val="21"/>
          <w:szCs w:val="21"/>
        </w:rPr>
        <w:t xml:space="preserve">거버넌스 사실관계 — Ian은 Claude의 권장안을 3건 중 2건에서 채택하지 않았다. </w:t>
      </w:r>
      <w:r>
        <w:rPr>
          <w:rFonts w:ascii="맑은 고딕" w:cs="맑은 고딕" w:eastAsia="맑은 고딕" w:hAnsi="맑은 고딕"/>
          <w:sz w:val="21"/>
          <w:szCs w:val="21"/>
        </w:rPr>
        <w:t xml:space="preserve">보류 후보 3건(다변량모니터링·신뢰성·안전재고) 중 다변량모니터링은 Claude 권장(보류)을 채택했으나, 신뢰성·안전재고는 Claude의 “보류/제외” 권장을 채택하지 않고 Ian이 직접 “지금 착수”를 결정했습니다(DEC-012). 이는 가치판단이 아니라 중립적 사실 기록입니다.</w:t>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권고사항</w:t>
      </w:r>
    </w:p>
    <w:p>
      <w:pPr>
        <w:pStyle w:val="Heading2"/>
        <w:spacing w:after="140" w:before="280"/>
      </w:pPr>
      <w:r>
        <w:rPr>
          <w:rFonts w:ascii="맑은 고딕" w:cs="맑은 고딕" w:eastAsia="맑은 고딕" w:hAnsi="맑은 고딕"/>
          <w:b/>
          <w:bCs/>
          <w:color w:val="1F4E79"/>
          <w:sz w:val="24"/>
          <w:szCs w:val="24"/>
        </w:rPr>
        <w:t xml:space="preserve">최우선 3건 (Phase1 범위결정은 여전히 Ian의 몫)</w:t>
      </w:r>
    </w:p>
    <w:p>
      <w:pPr>
        <w:pStyle w:val="ListParagraph"/>
        <w:numPr>
          <w:ilvl w:val="0"/>
          <w:numId w:val="4"/>
        </w:numPr>
        <w:spacing w:after="100"/>
      </w:pPr>
      <w:r>
        <w:rPr>
          <w:rFonts w:ascii="맑은 고딕" w:cs="맑은 고딕" w:eastAsia="맑은 고딕" w:hAnsi="맑은 고딕"/>
          <w:b w:val="false"/>
          <w:bCs w:val="false"/>
          <w:sz w:val="21"/>
          <w:szCs w:val="21"/>
        </w:rPr>
        <w:t xml:space="preserve">NAV-REQ-04: Navigator 진입 질문에 “시간순 연속 수집 데이터인가?” 추가 — 시뮬레이션상 가장 큰 위험(자기상관)에 대응. v2 Navigator에 “측정순서” 항목으로 이미 반영됨.</w:t>
      </w:r>
    </w:p>
    <w:p>
      <w:pPr>
        <w:pStyle w:val="ListParagraph"/>
        <w:numPr>
          <w:ilvl w:val="0"/>
          <w:numId w:val="4"/>
        </w:numPr>
        <w:spacing w:after="100"/>
      </w:pPr>
      <w:r>
        <w:rPr>
          <w:rFonts w:ascii="맑은 고딕" w:cs="맑은 고딕" w:eastAsia="맑은 고딕" w:hAnsi="맑은 고딕"/>
          <w:b w:val="false"/>
          <w:bCs w:val="false"/>
          <w:sz w:val="21"/>
          <w:szCs w:val="21"/>
        </w:rPr>
        <w:t xml:space="preserve">NAV-REQ-02: Student's t-test 대신 Welch's t-test를 기본값으로 채택 — Phase1 범위 변경 필요, Ian 결정 여전히 미확정.</w:t>
      </w:r>
    </w:p>
    <w:p>
      <w:pPr>
        <w:pStyle w:val="ListParagraph"/>
        <w:numPr>
          <w:ilvl w:val="0"/>
          <w:numId w:val="4"/>
        </w:numPr>
        <w:spacing w:after="100"/>
      </w:pPr>
      <w:r>
        <w:rPr>
          <w:rFonts w:ascii="맑은 고딕" w:cs="맑은 고딕" w:eastAsia="맑은 고딕" w:hAnsi="맑은 고딕"/>
          <w:b w:val="false"/>
          <w:bCs w:val="false"/>
          <w:sz w:val="21"/>
          <w:szCs w:val="21"/>
        </w:rPr>
        <w:t xml:space="preserve">NAV-REQ-01/07: 정규성·등분산·독립성 확인을 검정 실행보다 먼저 배치 — 8개 패키지 전부에 이미 반영됨.</w:t>
      </w:r>
    </w:p>
    <w:p>
      <w:pPr>
        <w:pStyle w:val="Heading2"/>
        <w:spacing w:after="140" w:before="280"/>
      </w:pPr>
      <w:r>
        <w:rPr>
          <w:rFonts w:ascii="맑은 고딕" w:cs="맑은 고딕" w:eastAsia="맑은 고딕" w:hAnsi="맑은 고딕"/>
          <w:b/>
          <w:bCs/>
          <w:color w:val="1F4E79"/>
          <w:sz w:val="24"/>
          <w:szCs w:val="24"/>
        </w:rPr>
        <w:t xml:space="preserve">제품 로드맵 판단이 필요한 항목</w:t>
      </w:r>
    </w:p>
    <w:p>
      <w:pPr>
        <w:pStyle w:val="ListParagraph"/>
        <w:numPr>
          <w:ilvl w:val="0"/>
          <w:numId w:val="4"/>
        </w:numPr>
        <w:spacing w:after="100"/>
      </w:pPr>
      <w:r>
        <w:rPr>
          <w:rFonts w:ascii="맑은 고딕" w:cs="맑은 고딕" w:eastAsia="맑은 고딕" w:hAnsi="맑은 고딕"/>
          <w:b w:val="false"/>
          <w:bCs w:val="false"/>
          <w:sz w:val="21"/>
          <w:szCs w:val="21"/>
        </w:rPr>
        <w:t xml:space="preserve">MSA를 Phase1로 앞당길지 — MSA는 이제 독립 패키지로 완결되어 있어 편입 결정이 더 쉬워짐.</w:t>
      </w:r>
    </w:p>
    <w:p>
      <w:pPr>
        <w:pStyle w:val="ListParagraph"/>
        <w:numPr>
          <w:ilvl w:val="0"/>
          <w:numId w:val="4"/>
        </w:numPr>
        <w:spacing w:after="100"/>
      </w:pPr>
      <w:r>
        <w:rPr>
          <w:rFonts w:ascii="맑은 고딕" w:cs="맑은 고딕" w:eastAsia="맑은 고딕" w:hAnsi="맑은 고딕"/>
          <w:b w:val="false"/>
          <w:bCs w:val="false"/>
          <w:sz w:val="21"/>
          <w:szCs w:val="21"/>
        </w:rPr>
        <w:t xml:space="preserve">Navigator를 “검정 선택 도구”에서 “상황인식→원인분석→검증→유지관리 전체 흐름 안내 도구”로 재정의할지 — 이미 v2에서 재정의 완료, Ian의 최종 승인만 남음.</w:t>
      </w:r>
    </w:p>
    <w:p>
      <w:pPr>
        <w:pStyle w:val="ListParagraph"/>
        <w:numPr>
          <w:ilvl w:val="0"/>
          <w:numId w:val="4"/>
        </w:numPr>
        <w:spacing w:after="100"/>
      </w:pPr>
      <w:r>
        <w:rPr>
          <w:rFonts w:ascii="맑은 고딕" w:cs="맑은 고딕" w:eastAsia="맑은 고딕" w:hAnsi="맑은 고딕"/>
          <w:b w:val="false"/>
          <w:bCs w:val="false"/>
          <w:sz w:val="21"/>
          <w:szCs w:val="21"/>
        </w:rPr>
        <w:t xml:space="preserve">8개 패키지를 Phase1/2/3 중 어디에 배치할지 — 6개 핵심 패키지와 2개 확장 패키지(근거등급 낮음)를 같은 단계에 둘지 별도 단계로 분리할지 Ian 결정 필요.</w:t>
      </w:r>
    </w:p>
    <w:p>
      <w:pPr>
        <w:pStyle w:val="ListParagraph"/>
        <w:numPr>
          <w:ilvl w:val="0"/>
          <w:numId w:val="4"/>
        </w:numPr>
        <w:spacing w:after="100"/>
      </w:pPr>
      <w:r>
        <w:rPr>
          <w:rFonts w:ascii="맑은 고딕" w:cs="맑은 고딕" w:eastAsia="맑은 고딕" w:hAnsi="맑은 고딕"/>
          <w:b w:val="false"/>
          <w:bCs w:val="false"/>
          <w:sz w:val="21"/>
          <w:szCs w:val="21"/>
        </w:rPr>
        <w:t xml:space="preserve">PRISM과의 기술적 통합 방식(GAP-08) — Claude Code 개발 착수 시 확정.</w:t>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이 연구로 뒷받침되지 않는 것 (금지된 결론)</w:t>
      </w:r>
    </w:p>
    <w:p>
      <w:pPr>
        <w:pStyle w:val="ListParagraph"/>
        <w:numPr>
          <w:ilvl w:val="0"/>
          <w:numId w:val="4"/>
        </w:numPr>
        <w:spacing w:after="100"/>
      </w:pPr>
      <w:r>
        <w:rPr>
          <w:rFonts w:ascii="맑은 고딕" w:cs="맑은 고딕" w:eastAsia="맑은 고딕" w:hAnsi="맑은 고딕"/>
          <w:b w:val="false"/>
          <w:bCs w:val="false"/>
          <w:sz w:val="21"/>
          <w:szCs w:val="21"/>
        </w:rPr>
        <w:t xml:space="preserve">“본 Add-on이 기존 방식보다 우수하다”는 정량적 주장.</w:t>
      </w:r>
    </w:p>
    <w:p>
      <w:pPr>
        <w:pStyle w:val="ListParagraph"/>
        <w:numPr>
          <w:ilvl w:val="0"/>
          <w:numId w:val="4"/>
        </w:numPr>
        <w:spacing w:after="100"/>
      </w:pPr>
      <w:r>
        <w:rPr>
          <w:rFonts w:ascii="맑은 고딕" w:cs="맑은 고딕" w:eastAsia="맑은 고딕" w:hAnsi="맑은 고딕"/>
          <w:b w:val="false"/>
          <w:bCs w:val="false"/>
          <w:sz w:val="21"/>
          <w:szCs w:val="21"/>
        </w:rPr>
        <w:t xml:space="preserve">“사용자 판단정확도가 실제로 향상되었다”는 효과성 주장(실사용자 검증 전).</w:t>
      </w:r>
    </w:p>
    <w:p>
      <w:pPr>
        <w:pStyle w:val="ListParagraph"/>
        <w:numPr>
          <w:ilvl w:val="0"/>
          <w:numId w:val="4"/>
        </w:numPr>
        <w:spacing w:after="100"/>
      </w:pPr>
      <w:r>
        <w:rPr>
          <w:rFonts w:ascii="맑은 고딕" w:cs="맑은 고딕" w:eastAsia="맑은 고딕" w:hAnsi="맑은 고딕"/>
          <w:b w:val="false"/>
          <w:bCs w:val="false"/>
          <w:sz w:val="21"/>
          <w:szCs w:val="21"/>
        </w:rPr>
        <w:t xml:space="preserve">“제조 현장 전반의 니즈를 파악했다”는 일반화(표본 1건·1인).</w:t>
      </w:r>
    </w:p>
    <w:p>
      <w:pPr>
        <w:pStyle w:val="ListParagraph"/>
        <w:numPr>
          <w:ilvl w:val="0"/>
          <w:numId w:val="4"/>
        </w:numPr>
        <w:spacing w:after="100"/>
      </w:pPr>
      <w:r>
        <w:rPr>
          <w:rFonts w:ascii="맑은 고딕" w:cs="맑은 고딕" w:eastAsia="맑은 고딕" w:hAnsi="맑은 고딕"/>
          <w:b w:val="false"/>
          <w:bCs w:val="false"/>
          <w:sz w:val="21"/>
          <w:szCs w:val="21"/>
        </w:rPr>
        <w:t xml:space="preserve">시뮬레이션 수치(22.3%, 63.8% 등)가 “실제 제조 현장에서 그대로 나타난다”는 주장 — 합성데이터의 예시적 결과일 뿐입니다.</w:t>
      </w:r>
    </w:p>
    <w:p>
      <w:pPr>
        <w:pStyle w:val="ListParagraph"/>
        <w:numPr>
          <w:ilvl w:val="0"/>
          <w:numId w:val="4"/>
        </w:numPr>
        <w:spacing w:after="100"/>
      </w:pPr>
      <w:r>
        <w:rPr>
          <w:rFonts w:ascii="맑은 고딕" w:cs="맑은 고딕" w:eastAsia="맑은 고딕" w:hAnsi="맑은 고딕"/>
          <w:b w:val="false"/>
          <w:bCs w:val="false"/>
          <w:sz w:val="21"/>
          <w:szCs w:val="21"/>
        </w:rPr>
        <w:t xml:space="preserve">Navigator 로직·통계 방법론이 “독립검증을 거쳐 검증되었다”는 주장 — self-reviewed(waived) 단계입니다.</w:t>
      </w:r>
    </w:p>
    <w:p>
      <w:pPr>
        <w:pStyle w:val="ListParagraph"/>
        <w:numPr>
          <w:ilvl w:val="0"/>
          <w:numId w:val="4"/>
        </w:numPr>
        <w:spacing w:after="100"/>
      </w:pPr>
      <w:r>
        <w:rPr>
          <w:rFonts w:ascii="맑은 고딕" w:cs="맑은 고딕" w:eastAsia="맑은 고딕" w:hAnsi="맑은 고딕"/>
          <w:b w:val="false"/>
          <w:bCs w:val="false"/>
          <w:sz w:val="21"/>
          <w:szCs w:val="21"/>
        </w:rPr>
        <w:t xml:space="preserve">“PRISM과의 통합까지 설계했다”는 주장 — GAP-08은 의도적으로 이 연구범위 밖입니다.</w:t>
      </w:r>
    </w:p>
    <w:p>
      <w:pPr>
        <w:pStyle w:val="ListParagraph"/>
        <w:numPr>
          <w:ilvl w:val="0"/>
          <w:numId w:val="4"/>
        </w:numPr>
        <w:spacing w:after="100"/>
      </w:pPr>
      <w:r>
        <w:rPr>
          <w:rFonts w:ascii="맑은 고딕" w:cs="맑은 고딕" w:eastAsia="맑은 고딕" w:hAnsi="맑은 고딕"/>
          <w:b w:val="false"/>
          <w:bCs w:val="false"/>
          <w:sz w:val="21"/>
          <w:szCs w:val="21"/>
        </w:rPr>
        <w:t xml:space="preserve">“8개 패키지 모두 동일한 근거등급을 갖는다”는 주장 — 신뢰성·안전재고 2개는 근거등급이 낮으며, 특히 안전재고는 도메인 자체가 다릅니다.</w:t>
      </w:r>
    </w:p>
    <w:p>
      <w:pPr>
        <w:pStyle w:val="ListParagraph"/>
        <w:numPr>
          <w:ilvl w:val="0"/>
          <w:numId w:val="4"/>
        </w:numPr>
        <w:spacing w:after="100"/>
      </w:pPr>
      <w:r>
        <w:rPr>
          <w:rFonts w:ascii="맑은 고딕" w:cs="맑은 고딕" w:eastAsia="맑은 고딕" w:hAnsi="맑은 고딕"/>
          <w:b w:val="false"/>
          <w:bCs w:val="false"/>
          <w:sz w:val="21"/>
          <w:szCs w:val="21"/>
        </w:rPr>
        <w:t xml:space="preserve">“해석 템플릿이 실사용자에게 오해석을 유발하지 않는다는 것까지 검증되었다”는 주장 — GAP-09는 구조적 완전성만 확인했으며, 문구 품질 검증은 GAP-02/05로 별도 이관되어 있습니다.</w:t>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남은 한계와 다음 단계</w:t>
      </w:r>
    </w:p>
    <w:p>
      <w:pPr>
        <w:spacing w:after="160"/>
      </w:pPr>
      <w:r>
        <w:rPr>
          <w:rFonts w:ascii="맑은 고딕" w:cs="맑은 고딕" w:eastAsia="맑은 고딕" w:hAnsi="맑은 고딕"/>
          <w:b w:val="false"/>
          <w:bCs w:val="false"/>
          <w:i w:val="false"/>
          <w:iCs w:val="false"/>
          <w:sz w:val="21"/>
          <w:szCs w:val="21"/>
        </w:rPr>
        <w:t xml:space="preserve">가장 중요한 잔여 리스크는 다음과 같습니다. 상세는 Limitations_and_Open_Questions.md(v2.0)를 참조하십시오.</w:t>
      </w:r>
    </w:p>
    <w:p>
      <w:pPr>
        <w:pStyle w:val="ListParagraph"/>
        <w:numPr>
          <w:ilvl w:val="0"/>
          <w:numId w:val="4"/>
        </w:numPr>
        <w:spacing w:after="100"/>
      </w:pPr>
      <w:r>
        <w:rPr>
          <w:rFonts w:ascii="맑은 고딕" w:cs="맑은 고딕" w:eastAsia="맑은 고딕" w:hAnsi="맑은 고딕"/>
          <w:b w:val="false"/>
          <w:bCs w:val="false"/>
          <w:sz w:val="21"/>
          <w:szCs w:val="21"/>
        </w:rPr>
        <w:t xml:space="preserve">실 CTQ 데이터 부재로 시뮬레이션 결과의 현장 적용 가능성을 실측하지 못함.</w:t>
      </w:r>
    </w:p>
    <w:p>
      <w:pPr>
        <w:pStyle w:val="ListParagraph"/>
        <w:numPr>
          <w:ilvl w:val="0"/>
          <w:numId w:val="4"/>
        </w:numPr>
        <w:spacing w:after="100"/>
      </w:pPr>
      <w:r>
        <w:rPr>
          <w:rFonts w:ascii="맑은 고딕" w:cs="맑은 고딕" w:eastAsia="맑은 고딕" w:hAnsi="맑은 고딕"/>
          <w:b w:val="false"/>
          <w:bCs w:val="false"/>
          <w:sz w:val="21"/>
          <w:szCs w:val="21"/>
        </w:rPr>
        <w:t xml:space="preserve">독립 통계전문가 리뷰가 waived 상태로 남아있음.</w:t>
      </w:r>
    </w:p>
    <w:p>
      <w:pPr>
        <w:pStyle w:val="ListParagraph"/>
        <w:numPr>
          <w:ilvl w:val="0"/>
          <w:numId w:val="4"/>
        </w:numPr>
        <w:spacing w:after="100"/>
      </w:pPr>
      <w:r>
        <w:rPr>
          <w:rFonts w:ascii="맑은 고딕" w:cs="맑은 고딕" w:eastAsia="맑은 고딕" w:hAnsi="맑은 고딕"/>
          <w:b w:val="false"/>
          <w:bCs w:val="false"/>
          <w:sz w:val="21"/>
          <w:szCs w:val="21"/>
        </w:rPr>
        <w:t xml:space="preserve">표본이 CASE-001 1건에 그쳐 타 제품군으로 일반화할 수 없음.</w:t>
      </w:r>
    </w:p>
    <w:p>
      <w:pPr>
        <w:pStyle w:val="ListParagraph"/>
        <w:numPr>
          <w:ilvl w:val="0"/>
          <w:numId w:val="4"/>
        </w:numPr>
        <w:spacing w:after="100"/>
      </w:pPr>
      <w:r>
        <w:rPr>
          <w:rFonts w:ascii="맑은 고딕" w:cs="맑은 고딕" w:eastAsia="맑은 고딕" w:hAnsi="맑은 고딕"/>
          <w:b w:val="false"/>
          <w:bCs w:val="false"/>
          <w:sz w:val="21"/>
          <w:szCs w:val="21"/>
        </w:rPr>
        <w:t xml:space="preserve">PRISM 기술적 통합(GAP-08)이 의도적으로 미결.</w:t>
      </w:r>
    </w:p>
    <w:p>
      <w:pPr>
        <w:pStyle w:val="ListParagraph"/>
        <w:numPr>
          <w:ilvl w:val="0"/>
          <w:numId w:val="4"/>
        </w:numPr>
        <w:spacing w:after="100"/>
      </w:pPr>
      <w:r>
        <w:rPr>
          <w:rFonts w:ascii="맑은 고딕" w:cs="맑은 고딕" w:eastAsia="맑은 고딕" w:hAnsi="맑은 고딕"/>
          <w:b w:val="false"/>
          <w:bCs w:val="false"/>
          <w:sz w:val="21"/>
          <w:szCs w:val="21"/>
        </w:rPr>
        <w:t xml:space="preserve">해석 템플릿의 실사용자 문구검증(GAP-02/05)이 미착수.</w:t>
      </w:r>
    </w:p>
    <w:p>
      <w:pPr>
        <w:pStyle w:val="ListParagraph"/>
        <w:numPr>
          <w:ilvl w:val="0"/>
          <w:numId w:val="4"/>
        </w:numPr>
        <w:spacing w:after="100"/>
      </w:pPr>
      <w:r>
        <w:rPr>
          <w:rFonts w:ascii="맑은 고딕" w:cs="맑은 고딕" w:eastAsia="맑은 고딕" w:hAnsi="맑은 고딕"/>
          <w:b w:val="false"/>
          <w:bCs w:val="false"/>
          <w:sz w:val="21"/>
          <w:szCs w:val="21"/>
        </w:rPr>
        <w:t xml:space="preserve">안전재고 패키지의 근거 보강(GAP-11)이 여전히 잔여 — 신뢰성 패키지의 근거 보강(GAP-10)은 2026-09-10 완료됨(교체주기 최적화 모듈 포함).</w:t>
      </w:r>
    </w:p>
    <w:p>
      <w:pPr>
        <w:spacing w:after="200"/>
      </w:pPr>
      <w:r>
        <w:rPr>
          <w:rFonts w:ascii="맑은 고딕" w:cs="맑은 고딕" w:eastAsia="맑은 고딕" w:hAnsi="맑은 고딕"/>
          <w:b w:val="false"/>
          <w:bCs w:val="false"/>
          <w:i w:val="false"/>
          <w:iCs w:val="false"/>
          <w:sz w:val="21"/>
          <w:szCs w:val="21"/>
        </w:rPr>
        <w:t xml:space="preserve">이들은 실패가 아니라 향후 프로토타입 단계 또는 Claude Code 개발 착수 시점에서 검증·확정해야 할 항목으로 명시적으로 이관합니다.</w:t>
      </w:r>
    </w:p>
    <w:p>
      <w:pPr>
        <w:pStyle w:val="Heading1"/>
        <w:pBdr>
          <w:bottom w:val="single" w:color="1F4E79" w:sz="6" w:space="4"/>
        </w:pBdr>
        <w:spacing w:after="200" w:before="420"/>
      </w:pPr>
      <w:r>
        <w:rPr>
          <w:rFonts w:ascii="맑은 고딕" w:cs="맑은 고딕" w:eastAsia="맑은 고딕" w:hAnsi="맑은 고딕"/>
          <w:b/>
          <w:bCs/>
          <w:color w:val="1F4E79"/>
          <w:sz w:val="30"/>
          <w:szCs w:val="30"/>
        </w:rPr>
        <w:t xml:space="preserve">Claim-to-evidence 색인</w:t>
      </w:r>
    </w:p>
    <w:p>
      <w:pPr>
        <w:pStyle w:val="ListParagraph"/>
        <w:numPr>
          <w:ilvl w:val="0"/>
          <w:numId w:val="4"/>
        </w:numPr>
        <w:spacing w:after="100"/>
      </w:pPr>
      <w:r>
        <w:rPr>
          <w:rFonts w:ascii="맑은 고딕" w:cs="맑은 고딕" w:eastAsia="맑은 고딕" w:hAnsi="맑은 고딕"/>
          <w:b w:val="false"/>
          <w:bCs w:val="false"/>
          <w:sz w:val="21"/>
          <w:szCs w:val="21"/>
        </w:rPr>
        <w:t xml:space="preserve">Claim_Evidence_Matrix.csv — CLM-01~48 전체</w:t>
      </w:r>
    </w:p>
    <w:p>
      <w:pPr>
        <w:pStyle w:val="ListParagraph"/>
        <w:numPr>
          <w:ilvl w:val="0"/>
          <w:numId w:val="4"/>
        </w:numPr>
        <w:spacing w:after="100"/>
      </w:pPr>
      <w:r>
        <w:rPr>
          <w:rFonts w:ascii="맑은 고딕" w:cs="맑은 고딕" w:eastAsia="맑은 고딕" w:hAnsi="맑은 고딕"/>
          <w:b w:val="false"/>
          <w:bCs w:val="false"/>
          <w:sz w:val="21"/>
          <w:szCs w:val="21"/>
        </w:rPr>
        <w:t xml:space="preserve">Source_Register.csv — SRC-000~154 전체</w:t>
      </w:r>
    </w:p>
    <w:p>
      <w:pPr>
        <w:pStyle w:val="ListParagraph"/>
        <w:numPr>
          <w:ilvl w:val="0"/>
          <w:numId w:val="4"/>
        </w:numPr>
        <w:spacing w:after="100"/>
      </w:pPr>
      <w:r>
        <w:rPr>
          <w:rFonts w:ascii="맑은 고딕" w:cs="맑은 고딕" w:eastAsia="맑은 고딕" w:hAnsi="맑은 고딕"/>
          <w:b w:val="false"/>
          <w:bCs w:val="false"/>
          <w:sz w:val="21"/>
          <w:szCs w:val="21"/>
        </w:rPr>
        <w:t xml:space="preserve">Findings_Register.csv — FND-01~16 전체</w:t>
      </w:r>
    </w:p>
    <w:p>
      <w:pPr>
        <w:pStyle w:val="ListParagraph"/>
        <w:numPr>
          <w:ilvl w:val="0"/>
          <w:numId w:val="4"/>
        </w:numPr>
        <w:spacing w:after="100"/>
      </w:pPr>
      <w:r>
        <w:rPr>
          <w:rFonts w:ascii="맑은 고딕" w:cs="맑은 고딕" w:eastAsia="맑은 고딕" w:hAnsi="맑은 고딕"/>
          <w:b w:val="false"/>
          <w:bCs w:val="false"/>
          <w:sz w:val="21"/>
          <w:szCs w:val="21"/>
        </w:rPr>
        <w:t xml:space="preserve">Execution_Log.csv — RUN-001~026 전체</w:t>
      </w:r>
    </w:p>
    <w:p>
      <w:pPr>
        <w:pStyle w:val="ListParagraph"/>
        <w:numPr>
          <w:ilvl w:val="0"/>
          <w:numId w:val="4"/>
        </w:numPr>
        <w:spacing w:after="100"/>
      </w:pPr>
      <w:r>
        <w:rPr>
          <w:rFonts w:ascii="맑은 고딕" w:cs="맑은 고딕" w:eastAsia="맑은 고딕" w:hAnsi="맑은 고딕"/>
          <w:b w:val="false"/>
          <w:bCs w:val="false"/>
          <w:sz w:val="21"/>
          <w:szCs w:val="21"/>
        </w:rPr>
        <w:t xml:space="preserve">Decision_Log.csv — DEC-001~013 전체</w:t>
      </w:r>
    </w:p>
    <w:p>
      <w:pPr>
        <w:spacing w:after="100"/>
      </w:pPr>
      <w:r>
        <w:rPr>
          <w:rFonts w:ascii="맑은 고딕" w:cs="맑은 고딕" w:eastAsia="맑은 고딕" w:hAnsi="맑은 고딕"/>
          <w:b w:val="false"/>
          <w:bCs w:val="false"/>
          <w:i w:val="false"/>
          <w:iCs w:val="false"/>
          <w:sz w:val="21"/>
          <w:szCs w:val="21"/>
        </w:rPr>
        <w:t xml:space="preserve"> </w:t>
      </w:r>
    </w:p>
    <w:p>
      <w:pPr>
        <w:spacing w:after="160"/>
      </w:pPr>
      <w:r>
        <w:rPr>
          <w:rFonts w:ascii="맑은 고딕" w:cs="맑은 고딕" w:eastAsia="맑은 고딕" w:hAnsi="맑은 고딕"/>
          <w:b w:val="false"/>
          <w:bCs w:val="false"/>
          <w:i/>
          <w:iCs/>
          <w:color w:val="777777"/>
          <w:sz w:val="18"/>
          <w:szCs w:val="18"/>
        </w:rPr>
        <w:t xml:space="preserve">본 보고서는 F:\obsidian\vault\통계분석앱\ 연구 워크스페이스의 08_DELIVERABLES/Final_Report.md(v2.1)를 원본으로 합니다. 전체 근거·이력·원자 모듈 카탈로그·8개 분석 패키지 명세는 해당 워크스페이스를 참조하십시오.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A8A8A"/>
        <w:sz w:val="16"/>
        <w:szCs w:val="16"/>
      </w:rPr>
      <w:t xml:space="preserve">- </w:t>
    </w:r>
    <w:r>
      <w:rPr>
        <w:rFonts w:ascii="맑은 고딕" w:cs="맑은 고딕" w:eastAsia="맑은 고딕" w:hAnsi="맑은 고딕"/>
        <w:color w:val="8A8A8A"/>
        <w:sz w:val="16"/>
        <w:szCs w:val="16"/>
      </w:rPr>
      <w:fldChar w:fldCharType="begin"/>
      <w:instrText xml:space="preserve">PAGE</w:instrText>
      <w:fldChar w:fldCharType="separate"/>
      <w:fldChar w:fldCharType="end"/>
    </w:r>
    <w:r>
      <w:rPr>
        <w:rFonts w:ascii="맑은 고딕" w:cs="맑은 고딕" w:eastAsia="맑은 고딕" w:hAnsi="맑은 고딕"/>
        <w:color w:val="8A8A8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A8A8A"/>
        <w:sz w:val="16"/>
        <w:szCs w:val="16"/>
      </w:rPr>
      <w:t xml:space="preserve">PRISM 통계분석 Add-on — 최종 연구보고서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2026-09-10T11:53:46.720Z</dcterms:created>
  <dcterms:modified xsi:type="dcterms:W3CDTF">2026-09-10T11:53:46.720Z</dcterms:modified>
</cp:coreProperties>
</file>

<file path=docProps/custom.xml><?xml version="1.0" encoding="utf-8"?>
<Properties xmlns="http://schemas.openxmlformats.org/officeDocument/2006/custom-properties" xmlns:vt="http://schemas.openxmlformats.org/officeDocument/2006/docPropsVTypes"/>
</file>