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tester</w:t>
      </w: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Скорость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USB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FTDI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115.2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кб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потоком –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, 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четность –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Формат пакетов</w:t>
      </w:r>
    </w:p>
    <w:tbl>
      <w:tblPr>
        <w:tblW w:w="99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6"/>
        <w:gridCol w:w="1832"/>
        <w:gridCol w:w="1893"/>
        <w:gridCol w:w="1313"/>
        <w:gridCol w:w="1560"/>
        <w:gridCol w:w="1668"/>
      </w:tblGrid>
      <w:tr>
        <w:tblPrEx>
          <w:shd w:val="clear" w:color="auto" w:fill="auto"/>
        </w:tblPrEx>
        <w:trPr>
          <w:trHeight w:val="9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BOF</w:t>
            </w:r>
          </w:p>
        </w:tc>
        <w:tc>
          <w:tcPr>
            <w:tcW w:type="dxa" w:w="659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Поле пакета</w:t>
            </w:r>
          </w:p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Если байт равен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70, 0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71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72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вместо него передаются два байта –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72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 сам байт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XOR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80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EOF</w:t>
            </w:r>
          </w:p>
        </w:tc>
      </w:tr>
      <w:tr>
        <w:tblPrEx>
          <w:shd w:val="clear" w:color="auto" w:fill="auto"/>
        </w:tblPrEx>
        <w:trPr>
          <w:trHeight w:val="15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Идентификатор пакета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Поле данных</w:t>
            </w:r>
          </w:p>
        </w:tc>
        <w:tc>
          <w:tcPr>
            <w:tcW w:type="dxa" w:w="28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Контрольная сумма</w:t>
            </w:r>
          </w:p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Байты идентификатора и данных без тоглирования</w:t>
            </w:r>
          </w:p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f(x)=x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16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+x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12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+x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+1</w:t>
            </w:r>
          </w:p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Инициализация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xFFFF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Зависит от идентификатора</w:t>
            </w:r>
          </w:p>
        </w:tc>
        <w:tc>
          <w:tcPr>
            <w:tcW w:type="dxa" w:w="28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байта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x70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...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...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LB CRC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HB CRC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0x71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Принимаемые и передаваемые пакеты</w:t>
      </w:r>
    </w:p>
    <w:tbl>
      <w:tblPr>
        <w:tblW w:w="110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35"/>
        <w:gridCol w:w="1989"/>
        <w:gridCol w:w="1547"/>
        <w:gridCol w:w="5594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Направление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Идентификатор пакета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Данные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генератор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0x00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128x2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Установка данных ЦАП – банк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0x00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128x2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Возврат данных ЦАП – банк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…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генератор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0x1F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128x2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Установка данных ЦАП – банк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x1F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128x2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Возврат данных ЦАП – банк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генератор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x40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Установка управления коммутатором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Возврат управления коммутатором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генератор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Установка последнего отсчета ЦАП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Возврат последнего отсчета ЦАП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генератор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0x42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70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Установка интервала ЦАП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0x42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Возврат интервала ЦАП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Не поддерживаемый пакет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генератора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Пакет с ошибкой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принят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EOF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 пакет испорчен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Буфер ЦАП имеет размер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4096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отсчетов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(8192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Формат данных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знаковые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Диапазон </w:t>
      </w:r>
      <w:r>
        <w:rPr>
          <w:rFonts w:ascii="Times New Roman" w:hAnsi="Times New Roman"/>
          <w:sz w:val="24"/>
          <w:szCs w:val="24"/>
          <w:rtl w:val="0"/>
          <w:lang w:val="ru-RU"/>
        </w:rPr>
        <w:t>+-25,032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Чувствительность младшего бита – </w:t>
      </w:r>
      <w:r>
        <w:rPr>
          <w:rFonts w:ascii="Times New Roman" w:hAnsi="Times New Roman"/>
          <w:sz w:val="24"/>
          <w:szCs w:val="24"/>
          <w:rtl w:val="0"/>
          <w:lang w:val="ru-RU"/>
        </w:rPr>
        <w:t>76.393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Буфер разбит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участка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отсчетов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Вывод данных происходит от первого отсчета до последнего отсчета заданного командой 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rtl w:val="0"/>
          <w:lang w:val="ru-RU"/>
        </w:rPr>
        <w:t>4096.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время в тиках </w:t>
      </w:r>
      <w:r>
        <w:rPr>
          <w:rFonts w:ascii="Times New Roman" w:hAnsi="Times New Roman"/>
          <w:sz w:val="24"/>
          <w:szCs w:val="24"/>
          <w:rtl w:val="0"/>
          <w:lang w:val="ru-RU"/>
        </w:rPr>
        <w:t>1.024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МГц между выводами отсчетов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Диапазон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>50 (0.049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мс</w:t>
      </w:r>
      <w:r>
        <w:rPr>
          <w:rFonts w:ascii="Times New Roman" w:hAnsi="Times New Roman"/>
          <w:sz w:val="24"/>
          <w:szCs w:val="24"/>
          <w:rtl w:val="0"/>
          <w:lang w:val="ru-RU"/>
        </w:rPr>
        <w:t>/20.480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rtl w:val="0"/>
          <w:lang w:val="ru-RU"/>
        </w:rPr>
        <w:t>65535 (0.064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/15.625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Гц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widowContro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Управление коммутатором</w:t>
      </w:r>
    </w:p>
    <w:tbl>
      <w:tblPr>
        <w:tblW w:w="1102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8"/>
        <w:gridCol w:w="648"/>
        <w:gridCol w:w="649"/>
        <w:gridCol w:w="648"/>
        <w:gridCol w:w="648"/>
        <w:gridCol w:w="649"/>
        <w:gridCol w:w="648"/>
        <w:gridCol w:w="649"/>
        <w:gridCol w:w="648"/>
        <w:gridCol w:w="649"/>
        <w:gridCol w:w="648"/>
        <w:gridCol w:w="648"/>
        <w:gridCol w:w="649"/>
        <w:gridCol w:w="648"/>
        <w:gridCol w:w="649"/>
        <w:gridCol w:w="648"/>
        <w:gridCol w:w="649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Бит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15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14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13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9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8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7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63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=0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DC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+0.3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DC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Z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изм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к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Z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элек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к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6=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5=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4=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3=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83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=1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DC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-0.3B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DC</w:t>
            </w:r>
          </w:p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Off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Z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изм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510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к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Z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элек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51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к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6=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5=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4=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3=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1=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U2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U2</w:t>
            </w:r>
          </w:p>
        </w:tc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U2</w:t>
            </w:r>
          </w:p>
        </w:tc>
        <w:tc>
          <w:tcPr>
            <w:tcW w:type="dxa" w:w="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spacing w:before="120" w:after="120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N=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U2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Текст"/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