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Times New Roman" w:cs="Times New Roman" w:eastAsia="Times New Roman" w:hAnsi="Times New Roman"/>
          <w:b w:val="1"/>
          <w:bCs w:val="1"/>
          <w:sz w:val="36"/>
          <w:szCs w:val="36"/>
        </w:rPr>
      </w:pPr>
      <w:bookmarkStart w:colFirst="0" w:colLast="0" w:name="_5z5qy1ao872v" w:id="0"/>
      <w:bookmarkEnd w:id="0"/>
      <w:r w:rsidDel="00000000" w:rsidR="00000000" w:rsidRPr="00000000">
        <w:rPr>
          <w:rFonts w:ascii="Times New Roman" w:cs="Times New Roman" w:eastAsia="Times New Roman" w:hAnsi="Times New Roman"/>
          <w:b w:val="1"/>
          <w:bCs w:val="1"/>
          <w:sz w:val="36"/>
          <w:szCs w:val="36"/>
          <w:rtl w:val="0"/>
        </w:rPr>
        <w:t xml:space="preserve">AVANT-PROPOS</w:t>
      </w:r>
    </w:p>
    <w:p w:rsidR="00000000" w:rsidDel="00000000" w:rsidP="00000000" w:rsidRDefault="00000000" w:rsidRPr="00000000" w14:paraId="00000002">
      <w:pPr>
        <w:rPr/>
        <w:sectPr>
          <w:headerReference r:id="rId6"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Heading1"/>
        <w:jc w:val="center"/>
        <w:rPr>
          <w:rFonts w:ascii="Times New Roman" w:cs="Times New Roman" w:eastAsia="Times New Roman" w:hAnsi="Times New Roman"/>
          <w:b w:val="1"/>
          <w:bCs w:val="1"/>
          <w:sz w:val="36"/>
          <w:szCs w:val="36"/>
        </w:rPr>
      </w:pPr>
      <w:bookmarkStart w:colFirst="0" w:colLast="0" w:name="_y5eskloug094" w:id="1"/>
      <w:bookmarkEnd w:id="1"/>
      <w:r w:rsidDel="00000000" w:rsidR="00000000" w:rsidRPr="00000000">
        <w:rPr>
          <w:rFonts w:ascii="Times New Roman" w:cs="Times New Roman" w:eastAsia="Times New Roman" w:hAnsi="Times New Roman"/>
          <w:b w:val="1"/>
          <w:bCs w:val="1"/>
          <w:sz w:val="36"/>
          <w:szCs w:val="36"/>
          <w:rtl w:val="0"/>
        </w:rPr>
        <w:t xml:space="preserve">REMERCIEMENTS</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LISTE DES ABREVIATIONS</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KPI: </w:t>
      </w:r>
      <w:r w:rsidDel="00000000" w:rsidR="00000000" w:rsidRPr="00000000">
        <w:rPr>
          <w:rFonts w:ascii="Times New Roman" w:cs="Times New Roman" w:eastAsia="Times New Roman" w:hAnsi="Times New Roman"/>
          <w:sz w:val="24"/>
          <w:szCs w:val="24"/>
          <w:rtl w:val="0"/>
        </w:rPr>
        <w:t xml:space="preserve">Key Performance Indicators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ERP: </w:t>
      </w:r>
      <w:r w:rsidDel="00000000" w:rsidR="00000000" w:rsidRPr="00000000">
        <w:rPr>
          <w:rFonts w:ascii="Times New Roman" w:cs="Times New Roman" w:eastAsia="Times New Roman" w:hAnsi="Times New Roman"/>
          <w:sz w:val="24"/>
          <w:szCs w:val="24"/>
          <w:rtl w:val="0"/>
        </w:rPr>
        <w:t xml:space="preserve">Enterprise resource planning</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CRM: </w:t>
      </w:r>
      <w:r w:rsidDel="00000000" w:rsidR="00000000" w:rsidRPr="00000000">
        <w:rPr>
          <w:rFonts w:ascii="Times New Roman" w:cs="Times New Roman" w:eastAsia="Times New Roman" w:hAnsi="Times New Roman"/>
          <w:sz w:val="24"/>
          <w:szCs w:val="24"/>
          <w:rtl w:val="0"/>
        </w:rPr>
        <w:t xml:space="preserve">Customer Relationship Management</w:t>
      </w:r>
    </w:p>
    <w:p w:rsidR="00000000" w:rsidDel="00000000" w:rsidP="00000000" w:rsidRDefault="00000000" w:rsidRPr="00000000" w14:paraId="0000000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 </w:t>
      </w:r>
      <w:r w:rsidDel="00000000" w:rsidR="00000000" w:rsidRPr="00000000">
        <w:rPr>
          <w:rFonts w:ascii="Times New Roman" w:cs="Times New Roman" w:eastAsia="Times New Roman" w:hAnsi="Times New Roman"/>
          <w:sz w:val="24"/>
          <w:szCs w:val="24"/>
          <w:rtl w:val="0"/>
        </w:rPr>
        <w:t xml:space="preserve">Business Intelligence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1"/>
        <w:jc w:val="center"/>
        <w:rPr>
          <w:rFonts w:ascii="Times New Roman" w:cs="Times New Roman" w:eastAsia="Times New Roman" w:hAnsi="Times New Roman"/>
          <w:b w:val="1"/>
          <w:bCs w:val="1"/>
          <w:sz w:val="36"/>
          <w:szCs w:val="36"/>
        </w:rPr>
      </w:pPr>
      <w:bookmarkStart w:colFirst="0" w:colLast="0" w:name="_ky4cxh4hdkg6" w:id="2"/>
      <w:bookmarkEnd w:id="2"/>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jc w:val="center"/>
        <w:rPr/>
      </w:pPr>
      <w:bookmarkStart w:colFirst="0" w:colLast="0" w:name="_1e949dc0uobu" w:id="3"/>
      <w:bookmarkEnd w:id="3"/>
      <w:r w:rsidDel="00000000" w:rsidR="00000000" w:rsidRPr="00000000">
        <w:rPr>
          <w:rFonts w:ascii="Times New Roman" w:cs="Times New Roman" w:eastAsia="Times New Roman" w:hAnsi="Times New Roman"/>
          <w:b w:val="1"/>
          <w:bCs w:val="1"/>
          <w:sz w:val="36"/>
          <w:szCs w:val="36"/>
          <w:rtl w:val="0"/>
        </w:rPr>
        <w:t xml:space="preserve">GLOSSAIRE</w:t>
      </w:r>
      <w:r w:rsidDel="00000000" w:rsidR="00000000" w:rsidRPr="00000000">
        <w:rPr>
          <w:rtl w:val="0"/>
        </w:rPr>
      </w:r>
    </w:p>
    <w:p w:rsidR="00000000" w:rsidDel="00000000" w:rsidP="00000000" w:rsidRDefault="00000000" w:rsidRPr="00000000" w14:paraId="0000000D">
      <w:pPr>
        <w:pStyle w:val="Heading1"/>
        <w:jc w:val="center"/>
        <w:rPr>
          <w:rFonts w:ascii="Times New Roman" w:cs="Times New Roman" w:eastAsia="Times New Roman" w:hAnsi="Times New Roman"/>
          <w:b w:val="1"/>
          <w:bCs w:val="1"/>
          <w:sz w:val="36"/>
          <w:szCs w:val="36"/>
        </w:rPr>
      </w:pPr>
      <w:bookmarkStart w:colFirst="0" w:colLast="0" w:name="_yylr46ll5dy6" w:id="4"/>
      <w:bookmarkEnd w:id="4"/>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jc w:val="center"/>
        <w:rPr>
          <w:rFonts w:ascii="Times New Roman" w:cs="Times New Roman" w:eastAsia="Times New Roman" w:hAnsi="Times New Roman"/>
          <w:b w:val="1"/>
          <w:bCs w:val="1"/>
          <w:sz w:val="36"/>
          <w:szCs w:val="36"/>
        </w:rPr>
      </w:pPr>
      <w:bookmarkStart w:colFirst="0" w:colLast="0" w:name="_b44g70qom3xf" w:id="5"/>
      <w:bookmarkEnd w:id="5"/>
      <w:r w:rsidDel="00000000" w:rsidR="00000000" w:rsidRPr="00000000">
        <w:rPr>
          <w:rFonts w:ascii="Times New Roman" w:cs="Times New Roman" w:eastAsia="Times New Roman" w:hAnsi="Times New Roman"/>
          <w:b w:val="1"/>
          <w:bCs w:val="1"/>
          <w:sz w:val="36"/>
          <w:szCs w:val="36"/>
          <w:rtl w:val="0"/>
        </w:rPr>
        <w:t xml:space="preserve">SOMMAIRE</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jc w:val="center"/>
        <w:rPr>
          <w:rFonts w:ascii="Times New Roman" w:cs="Times New Roman" w:eastAsia="Times New Roman" w:hAnsi="Times New Roman"/>
          <w:b w:val="1"/>
          <w:bCs w:val="1"/>
          <w:sz w:val="36"/>
          <w:szCs w:val="36"/>
        </w:rPr>
      </w:pPr>
      <w:bookmarkStart w:colFirst="0" w:colLast="0" w:name="_yatca8ms4bn0" w:id="6"/>
      <w:bookmarkEnd w:id="6"/>
      <w:r w:rsidDel="00000000" w:rsidR="00000000" w:rsidRPr="00000000">
        <w:rPr>
          <w:rFonts w:ascii="Times New Roman" w:cs="Times New Roman" w:eastAsia="Times New Roman" w:hAnsi="Times New Roman"/>
          <w:b w:val="1"/>
          <w:bCs w:val="1"/>
          <w:sz w:val="36"/>
          <w:szCs w:val="36"/>
          <w:rtl w:val="0"/>
        </w:rPr>
        <w:t xml:space="preserve">INTRODUCTION GENERALE</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jc w:val="center"/>
        <w:rPr>
          <w:rFonts w:ascii="Times New Roman" w:cs="Times New Roman" w:eastAsia="Times New Roman" w:hAnsi="Times New Roman"/>
          <w:sz w:val="36"/>
          <w:szCs w:val="36"/>
        </w:rPr>
      </w:pPr>
      <w:bookmarkStart w:colFirst="0" w:colLast="0" w:name="_6scy7camahcd" w:id="7"/>
      <w:bookmarkEnd w:id="7"/>
      <w:r w:rsidDel="00000000" w:rsidR="00000000" w:rsidRPr="00000000">
        <w:rPr>
          <w:rtl w:val="0"/>
        </w:rPr>
      </w:r>
    </w:p>
    <w:p w:rsidR="00000000" w:rsidDel="00000000" w:rsidP="00000000" w:rsidRDefault="00000000" w:rsidRPr="00000000" w14:paraId="00000026">
      <w:pPr>
        <w:pStyle w:val="Heading1"/>
        <w:ind w:left="0" w:firstLine="0"/>
        <w:jc w:val="center"/>
        <w:rPr>
          <w:rFonts w:ascii="Times New Roman" w:cs="Times New Roman" w:eastAsia="Times New Roman" w:hAnsi="Times New Roman"/>
          <w:b w:val="1"/>
          <w:bCs w:val="1"/>
          <w:sz w:val="36"/>
          <w:szCs w:val="36"/>
        </w:rPr>
      </w:pPr>
      <w:bookmarkStart w:colFirst="0" w:colLast="0" w:name="_vsud4a7xmdyg" w:id="8"/>
      <w:bookmarkEnd w:id="8"/>
      <w:r w:rsidDel="00000000" w:rsidR="00000000" w:rsidRPr="00000000">
        <w:rPr>
          <w:rFonts w:ascii="Times New Roman" w:cs="Times New Roman" w:eastAsia="Times New Roman" w:hAnsi="Times New Roman"/>
          <w:b w:val="1"/>
          <w:bCs w:val="1"/>
          <w:sz w:val="36"/>
          <w:szCs w:val="36"/>
          <w:rtl w:val="0"/>
        </w:rPr>
        <w:t xml:space="preserve">Partie I : PRESENTATION GENERALE</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rPr>
          <w:b w:val="1"/>
          <w:bCs w:val="1"/>
        </w:rPr>
      </w:pPr>
      <w:bookmarkStart w:colFirst="0" w:colLast="0" w:name="_ybq2onsfmw89" w:id="9"/>
      <w:bookmarkEnd w:id="9"/>
      <w:r w:rsidDel="00000000" w:rsidR="00000000" w:rsidRPr="00000000">
        <w:rPr>
          <w:rFonts w:ascii="Times New Roman" w:cs="Times New Roman" w:eastAsia="Times New Roman" w:hAnsi="Times New Roman"/>
          <w:b w:val="1"/>
          <w:bCs w:val="1"/>
          <w:rtl w:val="0"/>
        </w:rPr>
        <w:t xml:space="preserve">Chapitre 1 : Présentation de </w:t>
      </w:r>
      <w:r w:rsidDel="00000000" w:rsidR="00000000" w:rsidRPr="00000000">
        <w:rPr>
          <w:rFonts w:ascii="Times New Roman" w:cs="Times New Roman" w:eastAsia="Times New Roman" w:hAnsi="Times New Roman"/>
          <w:b w:val="1"/>
          <w:bCs w:val="1"/>
          <w:rtl w:val="0"/>
        </w:rPr>
        <w:t xml:space="preserve">l’EMIT</w:t>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L'Ecole de Management et d’Innovation Technologique (</w:t>
      </w:r>
      <w:r w:rsidDel="00000000" w:rsidR="00000000" w:rsidRPr="00000000">
        <w:rPr>
          <w:rFonts w:ascii="Times New Roman" w:cs="Times New Roman" w:eastAsia="Times New Roman" w:hAnsi="Times New Roman"/>
          <w:sz w:val="24"/>
          <w:szCs w:val="24"/>
          <w:rtl w:val="0"/>
        </w:rPr>
        <w:t xml:space="preserve">EMIT</w:t>
      </w:r>
      <w:r w:rsidDel="00000000" w:rsidR="00000000" w:rsidRPr="00000000">
        <w:rPr>
          <w:rFonts w:ascii="Times New Roman" w:cs="Times New Roman" w:eastAsia="Times New Roman" w:hAnsi="Times New Roman"/>
          <w:sz w:val="24"/>
          <w:szCs w:val="24"/>
          <w:rtl w:val="0"/>
        </w:rPr>
        <w:t xml:space="preserve">) est une grande école</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publique au sein de l'Université de Fianarantsoa, qui a basculé totalement vers le système</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L.M.D. </w:t>
      </w:r>
      <w:r w:rsidDel="00000000" w:rsidR="00000000" w:rsidRPr="00000000">
        <w:rPr>
          <w:rFonts w:ascii="Times New Roman" w:cs="Times New Roman" w:eastAsia="Times New Roman" w:hAnsi="Times New Roman"/>
          <w:sz w:val="24"/>
          <w:szCs w:val="24"/>
          <w:rtl w:val="0"/>
        </w:rPr>
        <w:t xml:space="preserve">L’EMIT</w:t>
      </w:r>
      <w:r w:rsidDel="00000000" w:rsidR="00000000" w:rsidRPr="00000000">
        <w:rPr>
          <w:rFonts w:ascii="Times New Roman" w:cs="Times New Roman" w:eastAsia="Times New Roman" w:hAnsi="Times New Roman"/>
          <w:sz w:val="24"/>
          <w:szCs w:val="24"/>
          <w:rtl w:val="0"/>
        </w:rPr>
        <w:t xml:space="preserve"> nous a reconnus comme étudiants.</w:t>
      </w:r>
    </w:p>
    <w:p w:rsidR="00000000" w:rsidDel="00000000" w:rsidP="00000000" w:rsidRDefault="00000000" w:rsidRPr="00000000" w14:paraId="0000002C">
      <w:pPr>
        <w:pStyle w:val="Heading3"/>
        <w:jc w:val="both"/>
        <w:rPr>
          <w:rFonts w:ascii="Times New Roman" w:cs="Times New Roman" w:eastAsia="Times New Roman" w:hAnsi="Times New Roman"/>
          <w:b w:val="1"/>
          <w:bCs w:val="1"/>
          <w:color w:val="000000"/>
        </w:rPr>
      </w:pPr>
      <w:bookmarkStart w:colFirst="0" w:colLast="0" w:name="_j9l84rszuhfd" w:id="10"/>
      <w:bookmarkEnd w:id="10"/>
      <w:r w:rsidDel="00000000" w:rsidR="00000000" w:rsidRPr="00000000">
        <w:rPr>
          <w:rFonts w:ascii="Times New Roman" w:cs="Times New Roman" w:eastAsia="Times New Roman" w:hAnsi="Times New Roman"/>
          <w:b w:val="1"/>
          <w:bCs w:val="1"/>
          <w:color w:val="000000"/>
          <w:rtl w:val="0"/>
        </w:rPr>
        <w:t xml:space="preserve">1.1.Historique</w:t>
      </w:r>
    </w:p>
    <w:p w:rsidR="00000000" w:rsidDel="00000000" w:rsidP="00000000" w:rsidRDefault="00000000" w:rsidRPr="00000000" w14:paraId="0000002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L’EMIT</w:t>
      </w:r>
      <w:r w:rsidDel="00000000" w:rsidR="00000000" w:rsidRPr="00000000">
        <w:rPr>
          <w:rFonts w:ascii="Times New Roman" w:cs="Times New Roman" w:eastAsia="Times New Roman" w:hAnsi="Times New Roman"/>
          <w:sz w:val="24"/>
          <w:szCs w:val="24"/>
          <w:rtl w:val="0"/>
        </w:rPr>
        <w:t xml:space="preserve"> est une école universitaire publique pluridisciplinaire, rattachée à l’Université de Fianarantsoa. La grande maturité au niveau de l’enseignement et la compétence des étudiants sortants de l’établissement ont permis aux dirigeants sous l’approbation du Ministère de mettre en place la conversion du Centre en </w:t>
      </w:r>
      <w:r w:rsidDel="00000000" w:rsidR="00000000" w:rsidRPr="00000000">
        <w:rPr>
          <w:rFonts w:ascii="Times New Roman" w:cs="Times New Roman" w:eastAsia="Times New Roman" w:hAnsi="Times New Roman"/>
          <w:sz w:val="24"/>
          <w:szCs w:val="24"/>
          <w:rtl w:val="0"/>
        </w:rPr>
        <w:t xml:space="preserve">Ecole</w:t>
      </w:r>
      <w:r w:rsidDel="00000000" w:rsidR="00000000" w:rsidRPr="00000000">
        <w:rPr>
          <w:rFonts w:ascii="Times New Roman" w:cs="Times New Roman" w:eastAsia="Times New Roman" w:hAnsi="Times New Roman"/>
          <w:sz w:val="24"/>
          <w:szCs w:val="24"/>
          <w:rtl w:val="0"/>
        </w:rPr>
        <w:t xml:space="preserve"> au sein de l’Université de Fianarantsoa par le Décret N°2016-1394 du 15 Novembre 2016. </w:t>
      </w:r>
      <w:r w:rsidDel="00000000" w:rsidR="00000000" w:rsidRPr="00000000">
        <w:rPr>
          <w:rFonts w:ascii="Times New Roman" w:cs="Times New Roman" w:eastAsia="Times New Roman" w:hAnsi="Times New Roman"/>
          <w:sz w:val="24"/>
          <w:szCs w:val="24"/>
          <w:rtl w:val="0"/>
        </w:rPr>
        <w:t xml:space="preserve">L’EMIT</w:t>
      </w:r>
      <w:r w:rsidDel="00000000" w:rsidR="00000000" w:rsidRPr="00000000">
        <w:rPr>
          <w:rFonts w:ascii="Times New Roman" w:cs="Times New Roman" w:eastAsia="Times New Roman" w:hAnsi="Times New Roman"/>
          <w:sz w:val="24"/>
          <w:szCs w:val="24"/>
          <w:rtl w:val="0"/>
        </w:rPr>
        <w:t xml:space="preserve"> prépare d’une part le diplôme de Master en deux mentions selon trois parcours et d’autre part le diplôme de Licence en trois mentions selon cinq parcours.</w:t>
      </w:r>
    </w:p>
    <w:p w:rsidR="00000000" w:rsidDel="00000000" w:rsidP="00000000" w:rsidRDefault="00000000" w:rsidRPr="00000000" w14:paraId="0000002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Autrefois, elle portait le nom de Centre Universitaire de Formation Professionnalisante (CUFP), institué par le décret N°2005-205 du 26 avril 2005, et délivrait des diplômes de Licence professionnelle en Administration et en Informatique. Précédemment, elle était également désignée sous l’appellation de Centre de Formation Continue (CFC), créé par l’Arrêté Rectoral N°99-23/UF/R du 10 mars 1999, offrant une formation menant au diplôme de Technicien Supérieur.</w:t>
      </w:r>
    </w:p>
    <w:p w:rsidR="00000000" w:rsidDel="00000000" w:rsidP="00000000" w:rsidRDefault="00000000" w:rsidRPr="00000000" w14:paraId="0000002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L’EMIT</w:t>
      </w:r>
      <w:r w:rsidDel="00000000" w:rsidR="00000000" w:rsidRPr="00000000">
        <w:rPr>
          <w:rFonts w:ascii="Times New Roman" w:cs="Times New Roman" w:eastAsia="Times New Roman" w:hAnsi="Times New Roman"/>
          <w:sz w:val="24"/>
          <w:szCs w:val="24"/>
          <w:rtl w:val="0"/>
        </w:rPr>
        <w:t xml:space="preserve"> a été désignée « Meilleur Établissement » lors du Salon de la Recherche organisé par l’Organisation Internationale du Travail les 5 et 6 juillet 2017. Depuis l’année universitaire 2013-2014, l’école a entièrement adopté le système Licence, Master et Doctorat (LMD). Toutes les formations dispensées à </w:t>
      </w:r>
      <w:r w:rsidDel="00000000" w:rsidR="00000000" w:rsidRPr="00000000">
        <w:rPr>
          <w:rFonts w:ascii="Times New Roman" w:cs="Times New Roman" w:eastAsia="Times New Roman" w:hAnsi="Times New Roman"/>
          <w:sz w:val="24"/>
          <w:szCs w:val="24"/>
          <w:rtl w:val="0"/>
        </w:rPr>
        <w:t xml:space="preserve">l’EMIT</w:t>
      </w:r>
      <w:r w:rsidDel="00000000" w:rsidR="00000000" w:rsidRPr="00000000">
        <w:rPr>
          <w:rFonts w:ascii="Times New Roman" w:cs="Times New Roman" w:eastAsia="Times New Roman" w:hAnsi="Times New Roman"/>
          <w:sz w:val="24"/>
          <w:szCs w:val="24"/>
          <w:rtl w:val="0"/>
        </w:rPr>
        <w:t xml:space="preserve"> sont accréditées par le Ministère de l’Enseignement Supérieur et de la Recherche Scientifique. L’école propose neuf parcours répartis en trois mentions, présentées ci-dessous.</w:t>
      </w:r>
    </w:p>
    <w:p w:rsidR="00000000" w:rsidDel="00000000" w:rsidP="00000000" w:rsidRDefault="00000000" w:rsidRPr="00000000" w14:paraId="00000030">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 1.1: Récapitulatif</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916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35"/>
        <w:gridCol w:w="2235"/>
        <w:gridCol w:w="2445"/>
        <w:tblGridChange w:id="0">
          <w:tblGrid>
            <w:gridCol w:w="2250"/>
            <w:gridCol w:w="2235"/>
            <w:gridCol w:w="2235"/>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Mention Informatique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Mention Relations</w:t>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Publiques et Multimédia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Economique et Sociale</w:t>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Développement d’Application</w:t>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Internet/Intranet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Conception, Intégration et</w:t>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 des Systèmes</w:t>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d’Information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Multimédia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 Publiques et</w:t>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w:t>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Organisationnelle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Décisionnel</w:t>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d’Entreprises</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Développement des</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Affaires (MEDA)</w:t>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Ingénierie Géo spatiale et</w:t>
            </w:r>
          </w:p>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Technologies de l’Information</w:t>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(IGTI)</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Modélisation et Ingénierie</w:t>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Informatique (M2I</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Système d’Information,</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Géomatique et Décision</w:t>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Sciences des Données et</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Intelligence Artificielle</w:t>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(SDIA)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Multimédia</w:t>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 Publiques et</w:t>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w:t>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Organisationnelle (RPCO)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Numérique</w:t>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Management de</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Projet(CNMP)</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Source </w:t>
      </w:r>
      <w:r w:rsidDel="00000000" w:rsidR="00000000" w:rsidRPr="00000000">
        <w:rPr>
          <w:rFonts w:ascii="Times New Roman" w:cs="Times New Roman" w:eastAsia="Times New Roman" w:hAnsi="Times New Roman"/>
          <w:b w:val="1"/>
          <w:bCs w:val="1"/>
          <w:sz w:val="24"/>
          <w:szCs w:val="24"/>
          <w:rtl w:val="0"/>
        </w:rPr>
        <w:t xml:space="preserve">:Ecole de Management et d’Innovation Technologique</w:t>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pStyle w:val="Heading3"/>
        <w:rPr>
          <w:rFonts w:ascii="Times New Roman" w:cs="Times New Roman" w:eastAsia="Times New Roman" w:hAnsi="Times New Roman"/>
          <w:b w:val="1"/>
          <w:bCs w:val="1"/>
          <w:color w:val="000000"/>
        </w:rPr>
      </w:pPr>
      <w:bookmarkStart w:colFirst="0" w:colLast="0" w:name="_nnx95k3h4xcp" w:id="11"/>
      <w:bookmarkEnd w:id="11"/>
      <w:r w:rsidDel="00000000" w:rsidR="00000000" w:rsidRPr="00000000">
        <w:rPr>
          <w:rFonts w:ascii="Times New Roman" w:cs="Times New Roman" w:eastAsia="Times New Roman" w:hAnsi="Times New Roman"/>
          <w:b w:val="1"/>
          <w:bCs w:val="1"/>
          <w:color w:val="000000"/>
          <w:rtl w:val="0"/>
        </w:rPr>
        <w:t xml:space="preserve">1.2.Missions</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L’école a pour mission principale de dispenser des formations initiales et continues en informatique, en administration, ainsi qu’en relations publiques et multimédia. Elle propose également des services connexes à l’informatique et forme des techniciens directement opérationnels en entreprise. De plus, elle contribue au perfectionnement professionnel des étudiants, des demandeurs d’emploi, des employés et des cadres d’entreprise.</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3"/>
        <w:rPr>
          <w:rFonts w:ascii="Times New Roman" w:cs="Times New Roman" w:eastAsia="Times New Roman" w:hAnsi="Times New Roman"/>
          <w:b w:val="1"/>
          <w:bCs w:val="1"/>
          <w:color w:val="000000"/>
        </w:rPr>
      </w:pPr>
      <w:bookmarkStart w:colFirst="0" w:colLast="0" w:name="_mf2mbc4gs2on" w:id="12"/>
      <w:bookmarkEnd w:id="12"/>
      <w:r w:rsidDel="00000000" w:rsidR="00000000" w:rsidRPr="00000000">
        <w:rPr>
          <w:rFonts w:ascii="Times New Roman" w:cs="Times New Roman" w:eastAsia="Times New Roman" w:hAnsi="Times New Roman"/>
          <w:b w:val="1"/>
          <w:bCs w:val="1"/>
          <w:color w:val="000000"/>
          <w:rtl w:val="0"/>
        </w:rPr>
        <w:t xml:space="preserve">1.3.Formations</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L’école présente actuellement deux cycles : Licence et Master. Chaque cycle possède</w:t>
      </w:r>
    </w:p>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24"/>
          <w:szCs w:val="24"/>
          <w:rtl w:val="0"/>
        </w:rPr>
        <w:t xml:space="preserve">plusieurs parcours assurés par un chef de mention</w:t>
      </w:r>
      <w:r w:rsidDel="00000000" w:rsidR="00000000" w:rsidRPr="00000000">
        <w:rPr>
          <w:rtl w:val="0"/>
        </w:rPr>
        <w:t xml:space="preserve">.</w:t>
      </w:r>
    </w:p>
    <w:p w:rsidR="00000000" w:rsidDel="00000000" w:rsidP="00000000" w:rsidRDefault="00000000" w:rsidRPr="00000000" w14:paraId="0000007E">
      <w:pPr>
        <w:pStyle w:val="Heading4"/>
        <w:rPr>
          <w:rFonts w:ascii="Times New Roman" w:cs="Times New Roman" w:eastAsia="Times New Roman" w:hAnsi="Times New Roman"/>
          <w:b w:val="1"/>
          <w:bCs w:val="1"/>
          <w:color w:val="000000"/>
          <w:sz w:val="26"/>
          <w:szCs w:val="26"/>
        </w:rPr>
      </w:pPr>
      <w:bookmarkStart w:colFirst="0" w:colLast="0" w:name="_q1xi37dcvbfg" w:id="13"/>
      <w:bookmarkEnd w:id="13"/>
      <w:r w:rsidDel="00000000" w:rsidR="00000000" w:rsidRPr="00000000">
        <w:rPr>
          <w:rFonts w:ascii="Times New Roman" w:cs="Times New Roman" w:eastAsia="Times New Roman" w:hAnsi="Times New Roman"/>
          <w:b w:val="1"/>
          <w:bCs w:val="1"/>
          <w:color w:val="000000"/>
          <w:sz w:val="26"/>
          <w:szCs w:val="26"/>
          <w:rtl w:val="0"/>
        </w:rPr>
        <w:t xml:space="preserve">1.3.1.Cycle Licence</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L’école possède trois (03) mentions pour cinq (05) parcours en cycle Licence. Les</w:t>
      </w:r>
    </w:p>
    <w:p w:rsidR="00000000" w:rsidDel="00000000" w:rsidP="00000000" w:rsidRDefault="00000000" w:rsidRPr="00000000" w14:paraId="00000080">
      <w:pPr>
        <w:jc w:val="both"/>
        <w:rPr/>
      </w:pPr>
      <w:r w:rsidDel="00000000" w:rsidR="00000000" w:rsidRPr="00000000">
        <w:rPr>
          <w:rFonts w:ascii="Times New Roman" w:cs="Times New Roman" w:eastAsia="Times New Roman" w:hAnsi="Times New Roman"/>
          <w:sz w:val="24"/>
          <w:szCs w:val="24"/>
          <w:rtl w:val="0"/>
        </w:rPr>
        <w:t xml:space="preserve">étudiants toutes mentions confondues doivent en faire, un stage de réalisation en entreprise avec un rapport de stage soutenu pour les étudiants en deuxième année de Licence (L2) et un stage de fin d’études suivi de la soutenance d’un mémoire pour les étudiants en troisième année de Licence (L3). La formation dure trois années universitaires et à la fin de la formation, les étudiants obtiennent des diplômes de Licence</w:t>
      </w:r>
      <w:r w:rsidDel="00000000" w:rsidR="00000000" w:rsidRPr="00000000">
        <w:rPr>
          <w:rtl w:val="0"/>
        </w:rPr>
        <w:t xml:space="preserve">.</w:t>
      </w:r>
    </w:p>
    <w:p w:rsidR="00000000" w:rsidDel="00000000" w:rsidP="00000000" w:rsidRDefault="00000000" w:rsidRPr="00000000" w14:paraId="00000081">
      <w:pPr>
        <w:pStyle w:val="Heading5"/>
        <w:jc w:val="both"/>
        <w:rPr>
          <w:rFonts w:ascii="Times New Roman" w:cs="Times New Roman" w:eastAsia="Times New Roman" w:hAnsi="Times New Roman"/>
          <w:b w:val="1"/>
          <w:bCs w:val="1"/>
          <w:color w:val="000000"/>
          <w:sz w:val="24"/>
          <w:szCs w:val="24"/>
        </w:rPr>
      </w:pPr>
      <w:bookmarkStart w:colFirst="0" w:colLast="0" w:name="_y9b7fe23006g" w:id="14"/>
      <w:bookmarkEnd w:id="14"/>
      <w:r w:rsidDel="00000000" w:rsidR="00000000" w:rsidRPr="00000000">
        <w:rPr>
          <w:rFonts w:ascii="Times New Roman" w:cs="Times New Roman" w:eastAsia="Times New Roman" w:hAnsi="Times New Roman"/>
          <w:b w:val="1"/>
          <w:bCs w:val="1"/>
          <w:color w:val="000000"/>
          <w:sz w:val="24"/>
          <w:szCs w:val="24"/>
          <w:rtl w:val="0"/>
        </w:rPr>
        <w:t xml:space="preserve">1.3.1.1. Mention « Management », Parcours « Administration Economique et Sociale (AES) »</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condition d’accès en première année de Licence se fait par voie de concours pour les</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titulaires d’un Baccalauréat général de toutes séries (A, C, D, S, L, OSE) ou d’un Baccalauréat technique G1 et G2. A l’issue de la formation, les étudiants ont les compétences de :</w:t>
      </w:r>
    </w:p>
    <w:p w:rsidR="00000000" w:rsidDel="00000000" w:rsidP="00000000" w:rsidRDefault="00000000" w:rsidRPr="00000000" w14:paraId="0000008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Assister le Directeur Général, le Directeur des Ressources Humaines et le Directeur</w:t>
      </w:r>
    </w:p>
    <w:p w:rsidR="00000000" w:rsidDel="00000000" w:rsidP="00000000" w:rsidRDefault="00000000" w:rsidRPr="00000000" w14:paraId="0000008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Administratif et Financier ;</w:t>
      </w:r>
    </w:p>
    <w:p w:rsidR="00000000" w:rsidDel="00000000" w:rsidP="00000000" w:rsidRDefault="00000000" w:rsidRPr="00000000" w14:paraId="00000086">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Gérer les Ressources Humaines ;</w:t>
      </w:r>
    </w:p>
    <w:p w:rsidR="00000000" w:rsidDel="00000000" w:rsidP="00000000" w:rsidRDefault="00000000" w:rsidRPr="00000000" w14:paraId="00000087">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Gérer une entreprise ou un projet</w:t>
      </w:r>
    </w:p>
    <w:p w:rsidR="00000000" w:rsidDel="00000000" w:rsidP="00000000" w:rsidRDefault="00000000" w:rsidRPr="00000000" w14:paraId="00000088">
      <w:pPr>
        <w:pStyle w:val="Heading5"/>
        <w:jc w:val="both"/>
        <w:rPr>
          <w:rFonts w:ascii="Times New Roman" w:cs="Times New Roman" w:eastAsia="Times New Roman" w:hAnsi="Times New Roman"/>
          <w:b w:val="1"/>
          <w:bCs w:val="1"/>
          <w:color w:val="000000"/>
          <w:sz w:val="24"/>
          <w:szCs w:val="24"/>
        </w:rPr>
      </w:pPr>
      <w:bookmarkStart w:colFirst="0" w:colLast="0" w:name="_7cv04ho26w78" w:id="15"/>
      <w:bookmarkEnd w:id="15"/>
      <w:r w:rsidDel="00000000" w:rsidR="00000000" w:rsidRPr="00000000">
        <w:rPr>
          <w:rFonts w:ascii="Times New Roman" w:cs="Times New Roman" w:eastAsia="Times New Roman" w:hAnsi="Times New Roman"/>
          <w:b w:val="1"/>
          <w:bCs w:val="1"/>
          <w:color w:val="000000"/>
          <w:sz w:val="24"/>
          <w:szCs w:val="24"/>
          <w:rtl w:val="0"/>
        </w:rPr>
        <w:t xml:space="preserve">1.3.1.2.Mention « Informatique », Parcours « Développement d’Application Internet Intranet (DA2I) » et Parcours « Conception, Intégration et Gestion des Systèmes D'information (</w:t>
      </w:r>
      <w:r w:rsidDel="00000000" w:rsidR="00000000" w:rsidRPr="00000000">
        <w:rPr>
          <w:rFonts w:ascii="Times New Roman" w:cs="Times New Roman" w:eastAsia="Times New Roman" w:hAnsi="Times New Roman"/>
          <w:b w:val="1"/>
          <w:bCs w:val="1"/>
          <w:color w:val="000000"/>
          <w:sz w:val="24"/>
          <w:szCs w:val="24"/>
          <w:rtl w:val="0"/>
        </w:rPr>
        <w:t xml:space="preserve">CIGSI</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condition d’accès en première année de Licence se fait par voie de concours pour les</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élèves titulaires du diplôme de Baccalauréat Général Scientifique (Série C, série D et série S), Baccalauréat Technique Professionnelle et Baccalauréat Technique Technologique (Filière Industrielle, Maintenance Automobile, Ouvrage Bois, Ouvrage Métallique, Génie Civile). A l’issue de la formation, les étudiants sont compétents en :</w:t>
      </w:r>
    </w:p>
    <w:p w:rsidR="00000000" w:rsidDel="00000000" w:rsidP="00000000" w:rsidRDefault="00000000" w:rsidRPr="00000000" w14:paraId="0000008B">
      <w:pPr>
        <w:numPr>
          <w:ilvl w:val="0"/>
          <w:numId w:val="2"/>
        </w:numPr>
        <w:ind w:left="720" w:hanging="360"/>
        <w:rPr>
          <w:u w:val="none"/>
        </w:rPr>
      </w:pPr>
      <w:r w:rsidDel="00000000" w:rsidR="00000000" w:rsidRPr="00000000">
        <w:rPr>
          <w:rtl w:val="0"/>
        </w:rPr>
        <w:t xml:space="preserve">Administration des bases de données ;</w:t>
      </w:r>
    </w:p>
    <w:p w:rsidR="00000000" w:rsidDel="00000000" w:rsidP="00000000" w:rsidRDefault="00000000" w:rsidRPr="00000000" w14:paraId="0000008C">
      <w:pPr>
        <w:numPr>
          <w:ilvl w:val="0"/>
          <w:numId w:val="2"/>
        </w:numPr>
        <w:ind w:left="720" w:hanging="360"/>
        <w:rPr>
          <w:u w:val="none"/>
        </w:rPr>
      </w:pPr>
      <w:r w:rsidDel="00000000" w:rsidR="00000000" w:rsidRPr="00000000">
        <w:rPr>
          <w:rtl w:val="0"/>
        </w:rPr>
        <w:t xml:space="preserve">Administration des réseaux et systèmes informatiques ;</w:t>
      </w:r>
    </w:p>
    <w:p w:rsidR="00000000" w:rsidDel="00000000" w:rsidP="00000000" w:rsidRDefault="00000000" w:rsidRPr="00000000" w14:paraId="0000008D">
      <w:pPr>
        <w:numPr>
          <w:ilvl w:val="0"/>
          <w:numId w:val="2"/>
        </w:numPr>
        <w:ind w:left="720" w:hanging="360"/>
        <w:rPr>
          <w:u w:val="none"/>
        </w:rPr>
      </w:pPr>
      <w:r w:rsidDel="00000000" w:rsidR="00000000" w:rsidRPr="00000000">
        <w:rPr>
          <w:rtl w:val="0"/>
        </w:rPr>
        <w:t xml:space="preserve">Développement D'application client/serveur</w:t>
      </w:r>
    </w:p>
    <w:p w:rsidR="00000000" w:rsidDel="00000000" w:rsidP="00000000" w:rsidRDefault="00000000" w:rsidRPr="00000000" w14:paraId="0000008E">
      <w:pPr>
        <w:pStyle w:val="Heading5"/>
        <w:jc w:val="both"/>
        <w:rPr>
          <w:rFonts w:ascii="Times New Roman" w:cs="Times New Roman" w:eastAsia="Times New Roman" w:hAnsi="Times New Roman"/>
          <w:b w:val="1"/>
          <w:bCs w:val="1"/>
          <w:color w:val="000000"/>
          <w:sz w:val="24"/>
          <w:szCs w:val="24"/>
        </w:rPr>
      </w:pPr>
      <w:bookmarkStart w:colFirst="0" w:colLast="0" w:name="_3azqbjbfh6qj" w:id="16"/>
      <w:bookmarkEnd w:id="16"/>
      <w:r w:rsidDel="00000000" w:rsidR="00000000" w:rsidRPr="00000000">
        <w:rPr>
          <w:rFonts w:ascii="Times New Roman" w:cs="Times New Roman" w:eastAsia="Times New Roman" w:hAnsi="Times New Roman"/>
          <w:b w:val="1"/>
          <w:bCs w:val="1"/>
          <w:color w:val="000000"/>
          <w:sz w:val="24"/>
          <w:szCs w:val="24"/>
          <w:rtl w:val="0"/>
        </w:rPr>
        <w:t xml:space="preserve">1.3.1.3.Mention « Relations Publiques et Multimédia », Parcours « Communication Multimédia (CM) » et « Relations Publiques et Communication Organisationnelle (RPCO) »</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condition d’accès en première année de Licence se fait par voie de concours pour les</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titulaires d’un Baccalauréat général de toutes séries (A, C, D, S, L, OSE) ou d’un Baccalauréat technique G1 et G2. A l’issue de la formation, les étudiants ont les compétences de :</w:t>
      </w:r>
    </w:p>
    <w:p w:rsidR="00000000" w:rsidDel="00000000" w:rsidP="00000000" w:rsidRDefault="00000000" w:rsidRPr="00000000" w14:paraId="00000091">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Rédiger un article dans un journal ;</w:t>
      </w:r>
    </w:p>
    <w:p w:rsidR="00000000" w:rsidDel="00000000" w:rsidP="00000000" w:rsidRDefault="00000000" w:rsidRPr="00000000" w14:paraId="00000092">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Occuper un poste d’un technicien de presse ;</w:t>
      </w:r>
    </w:p>
    <w:p w:rsidR="00000000" w:rsidDel="00000000" w:rsidP="00000000" w:rsidRDefault="00000000" w:rsidRPr="00000000" w14:paraId="00000093">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Travailler dans la revue de presse</w:t>
      </w:r>
    </w:p>
    <w:p w:rsidR="00000000" w:rsidDel="00000000" w:rsidP="00000000" w:rsidRDefault="00000000" w:rsidRPr="00000000" w14:paraId="00000094">
      <w:pPr>
        <w:pStyle w:val="Heading4"/>
        <w:jc w:val="both"/>
        <w:rPr>
          <w:rFonts w:ascii="Times New Roman" w:cs="Times New Roman" w:eastAsia="Times New Roman" w:hAnsi="Times New Roman"/>
          <w:b w:val="1"/>
          <w:bCs w:val="1"/>
          <w:color w:val="000000"/>
          <w:sz w:val="26"/>
          <w:szCs w:val="26"/>
        </w:rPr>
      </w:pPr>
      <w:bookmarkStart w:colFirst="0" w:colLast="0" w:name="_t09otlx7e2i" w:id="17"/>
      <w:bookmarkEnd w:id="17"/>
      <w:r w:rsidDel="00000000" w:rsidR="00000000" w:rsidRPr="00000000">
        <w:rPr>
          <w:rFonts w:ascii="Times New Roman" w:cs="Times New Roman" w:eastAsia="Times New Roman" w:hAnsi="Times New Roman"/>
          <w:b w:val="1"/>
          <w:bCs w:val="1"/>
          <w:color w:val="000000"/>
          <w:sz w:val="26"/>
          <w:szCs w:val="26"/>
          <w:rtl w:val="0"/>
        </w:rPr>
        <w:t xml:space="preserve">1.3.2.Cycle Master</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L’Ecole de Management et d’Innovation Technologique (EMIT) possède deux (03) mentions</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trois (09) parcours en Master Professionnel ainsi qu’en Master Recherche. La durée de la formation est de quatre semestres c'est-à-dire deux années universitaires.</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Heading5"/>
        <w:jc w:val="both"/>
        <w:rPr>
          <w:rFonts w:ascii="Times New Roman" w:cs="Times New Roman" w:eastAsia="Times New Roman" w:hAnsi="Times New Roman"/>
          <w:b w:val="1"/>
          <w:bCs w:val="1"/>
          <w:color w:val="000000"/>
          <w:sz w:val="24"/>
          <w:szCs w:val="24"/>
        </w:rPr>
      </w:pPr>
      <w:bookmarkStart w:colFirst="0" w:colLast="0" w:name="_lxt40bn99k27" w:id="18"/>
      <w:bookmarkEnd w:id="18"/>
      <w:r w:rsidDel="00000000" w:rsidR="00000000" w:rsidRPr="00000000">
        <w:rPr>
          <w:rFonts w:ascii="Times New Roman" w:cs="Times New Roman" w:eastAsia="Times New Roman" w:hAnsi="Times New Roman"/>
          <w:b w:val="1"/>
          <w:bCs w:val="1"/>
          <w:color w:val="000000"/>
          <w:sz w:val="24"/>
          <w:szCs w:val="24"/>
          <w:rtl w:val="0"/>
        </w:rPr>
        <w:t xml:space="preserve">1.3.2.1.Mention Management, Parcours Management Décisionnel (MD)</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L’admission en première année de Master (M1) au semestre 7 se fait sur sélection de dossier, après l’obtention d’une Licence en Administration Économique et Sociale, en Gestion ou en Économie.</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Master en Management Décisionnel propose une formation approfondie et pluridisciplinaire, préparant les étudiants à évoluer aussi bien dans l’administration publique que privée. En mettant l’accent sur la stratégie décisionnelle, l’analyse de l’environnement d’intervention et la gestion des risques, il dote les diplômés des compétences nécessaires pour relever des défis complexes. Leur expertise est particulièrement recherchée dans des secteurs variés, allant de la gestion d’entreprise à l’administration publique, où ils jouent un rôle clé dans le processus décisionnel. En associant une maîtrise approfondie des disciplines concernées à des compétences affûtées en prise de décision, ce master constitue un atout majeur pour la performance et l’adaptabilité des organisations dans un environnement en constante évolution.</w:t>
      </w:r>
    </w:p>
    <w:p w:rsidR="00000000" w:rsidDel="00000000" w:rsidP="00000000" w:rsidRDefault="00000000" w:rsidRPr="00000000" w14:paraId="0000009B">
      <w:pPr>
        <w:pStyle w:val="Heading5"/>
        <w:jc w:val="both"/>
        <w:rPr>
          <w:rFonts w:ascii="Times New Roman" w:cs="Times New Roman" w:eastAsia="Times New Roman" w:hAnsi="Times New Roman"/>
          <w:b w:val="1"/>
          <w:bCs w:val="1"/>
          <w:color w:val="000000"/>
          <w:sz w:val="24"/>
          <w:szCs w:val="24"/>
        </w:rPr>
      </w:pPr>
      <w:bookmarkStart w:colFirst="0" w:colLast="0" w:name="_y81gi4m5t9v8" w:id="19"/>
      <w:bookmarkEnd w:id="19"/>
      <w:r w:rsidDel="00000000" w:rsidR="00000000" w:rsidRPr="00000000">
        <w:rPr>
          <w:rFonts w:ascii="Times New Roman" w:cs="Times New Roman" w:eastAsia="Times New Roman" w:hAnsi="Times New Roman"/>
          <w:b w:val="1"/>
          <w:bCs w:val="1"/>
          <w:color w:val="000000"/>
          <w:sz w:val="24"/>
          <w:szCs w:val="24"/>
          <w:rtl w:val="0"/>
        </w:rPr>
        <w:t xml:space="preserve">1.3.2.2.Management d’Entreprises et Développement des Affaires (MEDA)</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L’accès en première année de Master (M1) au semestre 7 se fait sur sélection de dossier, sous réserve de l’obtention d’une Licence en Administration Économique et Sociale, en Gestion ou en Économie.</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Master en Management d'entreprises et Développement des Affaires forme les étudiants à exceller dans la création et la gestion d’entreprises. Ils acquièrent des compétences essentielles pour concevoir des plans d'affaires solides, identifier les opportunités de marché et optimiser la gestion des ressources. Ce programme prépare les diplômés à lancer leur propre entreprise en tant qu’entrepreneurs ou à occuper des postes stratégiques dans le domaine des affaires. Les débouchés incluent la création d’entreprises innovantes, la gestion de projets entrepreneuriaux et le conseil en stratégie pour les nouvelles initiatives commerciales. Ce master constitue ainsi un tremplin vers l’entrepreneuriat et la réussite professionnelle.</w:t>
      </w:r>
    </w:p>
    <w:p w:rsidR="00000000" w:rsidDel="00000000" w:rsidP="00000000" w:rsidRDefault="00000000" w:rsidRPr="00000000" w14:paraId="0000009E">
      <w:pPr>
        <w:pStyle w:val="Heading5"/>
        <w:spacing w:after="240" w:before="240" w:lineRule="auto"/>
        <w:jc w:val="both"/>
        <w:rPr>
          <w:rFonts w:ascii="Times New Roman" w:cs="Times New Roman" w:eastAsia="Times New Roman" w:hAnsi="Times New Roman"/>
          <w:b w:val="1"/>
          <w:bCs w:val="1"/>
          <w:color w:val="000000"/>
          <w:sz w:val="24"/>
          <w:szCs w:val="24"/>
        </w:rPr>
      </w:pPr>
      <w:bookmarkStart w:colFirst="0" w:colLast="0" w:name="_d5w42j1fgeje" w:id="20"/>
      <w:bookmarkEnd w:id="20"/>
      <w:r w:rsidDel="00000000" w:rsidR="00000000" w:rsidRPr="00000000">
        <w:rPr>
          <w:rFonts w:ascii="Times New Roman" w:cs="Times New Roman" w:eastAsia="Times New Roman" w:hAnsi="Times New Roman"/>
          <w:b w:val="1"/>
          <w:bCs w:val="1"/>
          <w:color w:val="000000"/>
          <w:sz w:val="24"/>
          <w:szCs w:val="24"/>
          <w:rtl w:val="0"/>
        </w:rPr>
        <w:t xml:space="preserve">1.3.2.3.Mention « Informatique », Parcours « Système d’Information, Géomatique et Décision (SIGD)» et Parcours « Modélisation et Ingénierie Informatique (M2I) »</w:t>
      </w:r>
    </w:p>
    <w:p w:rsidR="00000000" w:rsidDel="00000000" w:rsidP="00000000" w:rsidRDefault="00000000" w:rsidRPr="00000000" w14:paraId="0000009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L’accès en première année de Master (M1) au semestre 7 se fait sur sélection de dossier, après l’obtention d’une Licence en Informatique ou en Mathématiques et Informatique pour les sciences sociales (MISS). Le recrutement en semestre 9 se fait par validation des crédits acquis.</w:t>
      </w:r>
    </w:p>
    <w:p w:rsidR="00000000" w:rsidDel="00000000" w:rsidP="00000000" w:rsidRDefault="00000000" w:rsidRPr="00000000" w14:paraId="000000A0">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parcours « Système d’Information, Géomatique et Décision » vise à offrir une vision approfondie des recherches actuelles et émergentes en matière de systèmes d’aide à la décision. Avec l’essor des systèmes informatiques et de la géomatique, soutenu par les grilles de calcul et la prolifération d’appareils mobiles toujours plus performants, de nouveaux défis se posent pour le génie logiciel. L’intégration du parallélisme massif et de la mobilité des composants exige le développement de méthodes et d’outils innovants pour concevoir, valider et certifier ces architectures complexes. Par ailleurs, les avancées en géomatique, qui permettent d’exploiter des données spatiales et temporelles dans divers domaines, constituent un levier essentiel pour une prise de décision éclairée.</w:t>
      </w:r>
    </w:p>
    <w:p w:rsidR="00000000" w:rsidDel="00000000" w:rsidP="00000000" w:rsidRDefault="00000000" w:rsidRPr="00000000" w14:paraId="000000A1">
      <w:pPr>
        <w:pStyle w:val="Heading5"/>
        <w:keepNext w:val="0"/>
        <w:keepLines w:val="0"/>
        <w:spacing w:after="40" w:before="220" w:line="276" w:lineRule="auto"/>
        <w:jc w:val="both"/>
        <w:rPr>
          <w:rFonts w:ascii="Times New Roman" w:cs="Times New Roman" w:eastAsia="Times New Roman" w:hAnsi="Times New Roman"/>
          <w:b w:val="1"/>
          <w:bCs w:val="1"/>
          <w:color w:val="000000"/>
          <w:sz w:val="24"/>
          <w:szCs w:val="24"/>
        </w:rPr>
      </w:pPr>
      <w:bookmarkStart w:colFirst="0" w:colLast="0" w:name="_bac3z6huop3p" w:id="21"/>
      <w:bookmarkEnd w:id="21"/>
      <w:r w:rsidDel="00000000" w:rsidR="00000000" w:rsidRPr="00000000">
        <w:rPr>
          <w:rFonts w:ascii="Times New Roman" w:cs="Times New Roman" w:eastAsia="Times New Roman" w:hAnsi="Times New Roman"/>
          <w:b w:val="1"/>
          <w:bCs w:val="1"/>
          <w:color w:val="000000"/>
          <w:sz w:val="24"/>
          <w:szCs w:val="24"/>
          <w:rtl w:val="0"/>
        </w:rPr>
        <w:t xml:space="preserve">1.3.2.4. Mention « Informatique », Parcours « Ingénierie Géo spatiale et Technologies de l’Information (IGTI) » et Parcours « Sciences des Données et Intelligence Artificielle (SDIA) »</w:t>
      </w:r>
    </w:p>
    <w:p w:rsidR="00000000" w:rsidDel="00000000" w:rsidP="00000000" w:rsidRDefault="00000000" w:rsidRPr="00000000" w14:paraId="000000A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condition d’accès en première année de Master (M1) en S7 se fait par sélection de dossier après l’obtention du diplôme de Licence en Informatique et en Mathématique et Informatique pour les sciences sociales (MISS). Le recrutement en S9 se fait par validation des crédits acquis.</w:t>
      </w:r>
    </w:p>
    <w:p w:rsidR="00000000" w:rsidDel="00000000" w:rsidP="00000000" w:rsidRDefault="00000000" w:rsidRPr="00000000" w14:paraId="000000A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parcours vise à former des experts en informatique de haut niveau, spécialisés en intelligence artificielle et science des données. Les étudiants développeront des compétences clés telles que la conception et le développement de logiciels pour l'analyse automatique de grandes masses de données, la programmation du Big Data et de l'IA, la modélisation et l'automatisation du raisonnement sur les données, la conception d'architectures d'entreprise, l'application des méthodes statistiques, la maîtrise des techniques de gestion d'entreprise, l'utilisation de technologies pour l'exploitation de données réelles. Ce parcours met l'accent sur le développement de solutions en géomatique en utilisant une expertise avancée dans la conception de systèmes d'information géographique, la télédétection et l'analyse spatiale. Les étudiants qui le suivent sont aptes à proposer des solutions informatiques adaptées aux besoins des utilisateurs en géomatique.</w:t>
      </w:r>
    </w:p>
    <w:p w:rsidR="00000000" w:rsidDel="00000000" w:rsidP="00000000" w:rsidRDefault="00000000" w:rsidRPr="00000000" w14:paraId="000000A4">
      <w:pPr>
        <w:pStyle w:val="Heading5"/>
        <w:keepNext w:val="0"/>
        <w:keepLines w:val="0"/>
        <w:spacing w:after="40" w:before="220" w:lineRule="auto"/>
        <w:jc w:val="both"/>
        <w:rPr>
          <w:rFonts w:ascii="Times New Roman" w:cs="Times New Roman" w:eastAsia="Times New Roman" w:hAnsi="Times New Roman"/>
          <w:b w:val="1"/>
          <w:bCs w:val="1"/>
          <w:color w:val="000000"/>
          <w:sz w:val="24"/>
          <w:szCs w:val="24"/>
        </w:rPr>
      </w:pPr>
      <w:bookmarkStart w:colFirst="0" w:colLast="0" w:name="_8kjs6p6u4eu" w:id="22"/>
      <w:bookmarkEnd w:id="22"/>
      <w:r w:rsidDel="00000000" w:rsidR="00000000" w:rsidRPr="00000000">
        <w:rPr>
          <w:rFonts w:ascii="Times New Roman" w:cs="Times New Roman" w:eastAsia="Times New Roman" w:hAnsi="Times New Roman"/>
          <w:b w:val="1"/>
          <w:bCs w:val="1"/>
          <w:color w:val="000000"/>
          <w:sz w:val="24"/>
          <w:szCs w:val="24"/>
          <w:rtl w:val="0"/>
        </w:rPr>
        <w:t xml:space="preserve">1.3.2.5. Mention « Relations Publiques et Multimédia », Parcours « Communication Multimédia (CM) »</w:t>
      </w:r>
    </w:p>
    <w:p w:rsidR="00000000" w:rsidDel="00000000" w:rsidP="00000000" w:rsidRDefault="00000000" w:rsidRPr="00000000" w14:paraId="000000A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condition d’accès en première année de Master (M1) en S7 se fait par sélection de dossier après l’obtention du diplôme de Licence en Communication Multimédia (CM). Le recrutement en S9 se fait par validation des crédits acquis.</w:t>
      </w:r>
    </w:p>
    <w:p w:rsidR="00000000" w:rsidDel="00000000" w:rsidP="00000000" w:rsidRDefault="00000000" w:rsidRPr="00000000" w14:paraId="000000A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secteur de la communication multimédia est un secteur extrêmement varié et concurrentiel. Cette formation s'appuie, par exemple, sur la recherche et le traitement d’information avant la mise en publication (dans un site web, radio, télévision). </w:t>
      </w:r>
    </w:p>
    <w:p w:rsidR="00000000" w:rsidDel="00000000" w:rsidP="00000000" w:rsidRDefault="00000000" w:rsidRPr="00000000" w14:paraId="000000A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double diplôme entre le parcours Cultures et Métiers du Web (CMW) de l'Université Gustave Eiffel et le parcours Communication Multimédias (CM) de l’Université de Fianarantsoa propose l'obtention simultanée d'un diplôme de master en CMW et d'un diplôme de master en CM, avec deux suppléments de diplôme.</w:t>
      </w:r>
    </w:p>
    <w:p w:rsidR="00000000" w:rsidDel="00000000" w:rsidP="00000000" w:rsidRDefault="00000000" w:rsidRPr="00000000" w14:paraId="000000A8">
      <w:pPr>
        <w:pStyle w:val="Heading5"/>
        <w:keepNext w:val="0"/>
        <w:keepLines w:val="0"/>
        <w:spacing w:after="40" w:before="220" w:lineRule="auto"/>
        <w:jc w:val="both"/>
        <w:rPr>
          <w:rFonts w:ascii="Times New Roman" w:cs="Times New Roman" w:eastAsia="Times New Roman" w:hAnsi="Times New Roman"/>
          <w:b w:val="1"/>
          <w:bCs w:val="1"/>
          <w:color w:val="000000"/>
          <w:sz w:val="24"/>
          <w:szCs w:val="24"/>
        </w:rPr>
      </w:pPr>
      <w:bookmarkStart w:colFirst="0" w:colLast="0" w:name="_hj4x1dwvbz03" w:id="23"/>
      <w:bookmarkEnd w:id="23"/>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5"/>
        <w:keepNext w:val="0"/>
        <w:keepLines w:val="0"/>
        <w:spacing w:after="40" w:before="220" w:lineRule="auto"/>
        <w:jc w:val="both"/>
        <w:rPr>
          <w:rFonts w:ascii="Times New Roman" w:cs="Times New Roman" w:eastAsia="Times New Roman" w:hAnsi="Times New Roman"/>
          <w:b w:val="1"/>
          <w:bCs w:val="1"/>
          <w:color w:val="000000"/>
          <w:sz w:val="24"/>
          <w:szCs w:val="24"/>
        </w:rPr>
      </w:pPr>
      <w:bookmarkStart w:colFirst="0" w:colLast="0" w:name="_5452loh5mwgl" w:id="24"/>
      <w:bookmarkEnd w:id="24"/>
      <w:r w:rsidDel="00000000" w:rsidR="00000000" w:rsidRPr="00000000">
        <w:rPr>
          <w:rFonts w:ascii="Times New Roman" w:cs="Times New Roman" w:eastAsia="Times New Roman" w:hAnsi="Times New Roman"/>
          <w:b w:val="1"/>
          <w:bCs w:val="1"/>
          <w:color w:val="000000"/>
          <w:sz w:val="24"/>
          <w:szCs w:val="24"/>
          <w:rtl w:val="0"/>
        </w:rPr>
        <w:t xml:space="preserve">1.3.2.6. Mention « Relations Publiques et Multimédia », Parcours « Communication Numérique et Management du Projet (CNMP) »</w:t>
      </w:r>
    </w:p>
    <w:p w:rsidR="00000000" w:rsidDel="00000000" w:rsidP="00000000" w:rsidRDefault="00000000" w:rsidRPr="00000000" w14:paraId="000000A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condition d’accès en première année de Master (M1) en S7 se fait par sélection de dossier après l’obtention du diplôme de Licence en Communication Multimédia (CM). Le recrutement en S9 se fait par validation des crédits acquis.</w:t>
      </w:r>
    </w:p>
    <w:p w:rsidR="00000000" w:rsidDel="00000000" w:rsidP="00000000" w:rsidRDefault="00000000" w:rsidRPr="00000000" w14:paraId="000000A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formation en Communication Numérique et Management de Projet de </w:t>
      </w:r>
      <w:r w:rsidDel="00000000" w:rsidR="00000000" w:rsidRPr="00000000">
        <w:rPr>
          <w:rFonts w:ascii="Times New Roman" w:cs="Times New Roman" w:eastAsia="Times New Roman" w:hAnsi="Times New Roman"/>
          <w:sz w:val="24"/>
          <w:szCs w:val="24"/>
          <w:rtl w:val="0"/>
        </w:rPr>
        <w:t xml:space="preserve">l’EMIT</w:t>
      </w:r>
      <w:r w:rsidDel="00000000" w:rsidR="00000000" w:rsidRPr="00000000">
        <w:rPr>
          <w:rFonts w:ascii="Times New Roman" w:cs="Times New Roman" w:eastAsia="Times New Roman" w:hAnsi="Times New Roman"/>
          <w:sz w:val="24"/>
          <w:szCs w:val="24"/>
          <w:rtl w:val="0"/>
        </w:rPr>
        <w:t xml:space="preserve"> vise à former des professionnels polyvalents, compétents dans la gestion de projets numériques, le leadership d'équipes, et la compréhension des enjeux des médias numériques, en collaboration avec l'Université Bordeaux Montaigne en France.</w:t>
      </w:r>
    </w:p>
    <w:p w:rsidR="00000000" w:rsidDel="00000000" w:rsidP="00000000" w:rsidRDefault="00000000" w:rsidRPr="00000000" w14:paraId="000000AC">
      <w:pPr>
        <w:pStyle w:val="Heading5"/>
        <w:keepNext w:val="0"/>
        <w:keepLines w:val="0"/>
        <w:spacing w:after="40" w:before="220" w:lineRule="auto"/>
        <w:rPr>
          <w:rFonts w:ascii="Times New Roman" w:cs="Times New Roman" w:eastAsia="Times New Roman" w:hAnsi="Times New Roman"/>
          <w:b w:val="1"/>
          <w:bCs w:val="1"/>
          <w:color w:val="000000"/>
          <w:sz w:val="24"/>
          <w:szCs w:val="24"/>
        </w:rPr>
      </w:pPr>
      <w:bookmarkStart w:colFirst="0" w:colLast="0" w:name="_3jvraliycrd" w:id="25"/>
      <w:bookmarkEnd w:id="25"/>
      <w:r w:rsidDel="00000000" w:rsidR="00000000" w:rsidRPr="00000000">
        <w:rPr>
          <w:rFonts w:ascii="Times New Roman" w:cs="Times New Roman" w:eastAsia="Times New Roman" w:hAnsi="Times New Roman"/>
          <w:b w:val="1"/>
          <w:bCs w:val="1"/>
          <w:color w:val="000000"/>
          <w:sz w:val="24"/>
          <w:szCs w:val="24"/>
          <w:rtl w:val="0"/>
        </w:rPr>
        <w:t xml:space="preserve">1.3.2.7. Mention « Relations Publiques et Multimédia », Parcours « Relations Publiques et Communication Organisationnelle (RPCO) »</w:t>
      </w:r>
    </w:p>
    <w:p w:rsidR="00000000" w:rsidDel="00000000" w:rsidP="00000000" w:rsidRDefault="00000000" w:rsidRPr="00000000" w14:paraId="000000AD">
      <w:pPr>
        <w:spacing w:after="240" w:before="240" w:lineRule="auto"/>
        <w:ind w:firstLine="720"/>
        <w:jc w:val="both"/>
        <w:rPr/>
      </w:pPr>
      <w:r w:rsidDel="00000000" w:rsidR="00000000" w:rsidRPr="00000000">
        <w:rPr>
          <w:rFonts w:ascii="Times New Roman" w:cs="Times New Roman" w:eastAsia="Times New Roman" w:hAnsi="Times New Roman"/>
          <w:sz w:val="24"/>
          <w:szCs w:val="24"/>
          <w:rtl w:val="0"/>
        </w:rPr>
        <w:t xml:space="preserve">La condition d’accès en première année de Master (M1) en S7 se fait par sélection de dossier après l’obtention du diplôme de Licence en Relations Publiques et Communication Organisationnelle (RPCO). Le recrutement en S9 se fait par validation des crédits acquis.</w:t>
      </w:r>
      <w:r w:rsidDel="00000000" w:rsidR="00000000" w:rsidRPr="00000000">
        <w:rPr>
          <w:rtl w:val="0"/>
        </w:rPr>
        <w:t xml:space="preserve"> </w:t>
      </w:r>
    </w:p>
    <w:p w:rsidR="00000000" w:rsidDel="00000000" w:rsidP="00000000" w:rsidRDefault="00000000" w:rsidRPr="00000000" w14:paraId="000000A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parcours axé sur le développement de compétences stratégiques et opérationnelles. Les étudiants bénéficient d'une formation complète, couvrant la gestion de l'image de marque, la planification d'événements, la communication interne et externe, afin de les préparer à exceller dans le monde dynamique et exigeant des relations publiques.</w:t>
      </w:r>
    </w:p>
    <w:p w:rsidR="00000000" w:rsidDel="00000000" w:rsidP="00000000" w:rsidRDefault="00000000" w:rsidRPr="00000000" w14:paraId="000000AF">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udqk9h7xtdf7" w:id="26"/>
      <w:bookmarkEnd w:id="26"/>
      <w:r w:rsidDel="00000000" w:rsidR="00000000" w:rsidRPr="00000000">
        <w:rPr>
          <w:rFonts w:ascii="Times New Roman" w:cs="Times New Roman" w:eastAsia="Times New Roman" w:hAnsi="Times New Roman"/>
          <w:b w:val="1"/>
          <w:bCs w:val="1"/>
          <w:color w:val="000000"/>
          <w:rtl w:val="0"/>
        </w:rPr>
        <w:t xml:space="preserve">1.4. Organigramme de </w:t>
      </w:r>
      <w:r w:rsidDel="00000000" w:rsidR="00000000" w:rsidRPr="00000000">
        <w:rPr>
          <w:rFonts w:ascii="Times New Roman" w:cs="Times New Roman" w:eastAsia="Times New Roman" w:hAnsi="Times New Roman"/>
          <w:b w:val="1"/>
          <w:bCs w:val="1"/>
          <w:color w:val="000000"/>
          <w:rtl w:val="0"/>
        </w:rPr>
        <w:t xml:space="preserve">l’EMIT</w:t>
      </w:r>
      <w:r w:rsidDel="00000000" w:rsidR="00000000" w:rsidRPr="00000000">
        <w:rPr>
          <w:rtl w:val="0"/>
        </w:rPr>
      </w:r>
    </w:p>
    <w:p w:rsidR="00000000" w:rsidDel="00000000" w:rsidP="00000000" w:rsidRDefault="00000000" w:rsidRPr="00000000" w14:paraId="000000B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structure hiérarchique au sein de </w:t>
      </w:r>
      <w:r w:rsidDel="00000000" w:rsidR="00000000" w:rsidRPr="00000000">
        <w:rPr>
          <w:rFonts w:ascii="Times New Roman" w:cs="Times New Roman" w:eastAsia="Times New Roman" w:hAnsi="Times New Roman"/>
          <w:sz w:val="24"/>
          <w:szCs w:val="24"/>
          <w:rtl w:val="0"/>
        </w:rPr>
        <w:t xml:space="preserve">l’EMIT</w:t>
      </w:r>
      <w:r w:rsidDel="00000000" w:rsidR="00000000" w:rsidRPr="00000000">
        <w:rPr>
          <w:rFonts w:ascii="Times New Roman" w:cs="Times New Roman" w:eastAsia="Times New Roman" w:hAnsi="Times New Roman"/>
          <w:sz w:val="24"/>
          <w:szCs w:val="24"/>
          <w:rtl w:val="0"/>
        </w:rPr>
        <w:t xml:space="preserve"> se compose d’un conseil (scientifique ou d’établissement), une direction, un collège des enseignants, des chefs de mentions et des services présents au sein de l’école. Cette structure est représentée de manière générale sur la Figure 1.1.</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Organigramme de </w:t>
      </w:r>
      <w:r w:rsidDel="00000000" w:rsidR="00000000" w:rsidRPr="00000000">
        <w:rPr>
          <w:rFonts w:ascii="Times New Roman" w:cs="Times New Roman" w:eastAsia="Times New Roman" w:hAnsi="Times New Roman"/>
          <w:sz w:val="24"/>
          <w:szCs w:val="24"/>
          <w:rtl w:val="0"/>
        </w:rPr>
        <w:t xml:space="preserve">l’EMIT</w:t>
      </w:r>
      <w:r w:rsidDel="00000000" w:rsidR="00000000" w:rsidRPr="00000000">
        <w:rPr>
          <w:rtl w:val="0"/>
        </w:rPr>
      </w:r>
    </w:p>
    <w:p w:rsidR="00000000" w:rsidDel="00000000" w:rsidP="00000000" w:rsidRDefault="00000000" w:rsidRPr="00000000" w14:paraId="000000B2">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765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 </w:t>
      </w:r>
      <w:r w:rsidDel="00000000" w:rsidR="00000000" w:rsidRPr="00000000">
        <w:rPr>
          <w:rFonts w:ascii="Times New Roman" w:cs="Times New Roman" w:eastAsia="Times New Roman" w:hAnsi="Times New Roman"/>
          <w:sz w:val="24"/>
          <w:szCs w:val="24"/>
          <w:rtl w:val="0"/>
        </w:rPr>
        <w:t xml:space="preserve">Ecole de Management et d’Innovation Technologique</w:t>
      </w:r>
      <w:r w:rsidDel="00000000" w:rsidR="00000000" w:rsidRPr="00000000">
        <w:rPr>
          <w:rtl w:val="0"/>
        </w:rPr>
      </w:r>
    </w:p>
    <w:p w:rsidR="00000000" w:rsidDel="00000000" w:rsidP="00000000" w:rsidRDefault="00000000" w:rsidRPr="00000000" w14:paraId="000000B4">
      <w:pPr>
        <w:pStyle w:val="Heading2"/>
        <w:rPr>
          <w:rFonts w:ascii="Times New Roman" w:cs="Times New Roman" w:eastAsia="Times New Roman" w:hAnsi="Times New Roman"/>
          <w:b w:val="1"/>
          <w:bCs w:val="1"/>
        </w:rPr>
      </w:pPr>
      <w:bookmarkStart w:colFirst="0" w:colLast="0" w:name="_58twpzqa92vh" w:id="27"/>
      <w:bookmarkEnd w:id="27"/>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2"/>
        <w:rPr>
          <w:rFonts w:ascii="Times New Roman" w:cs="Times New Roman" w:eastAsia="Times New Roman" w:hAnsi="Times New Roman"/>
          <w:b w:val="1"/>
          <w:bCs w:val="1"/>
        </w:rPr>
      </w:pPr>
      <w:bookmarkStart w:colFirst="0" w:colLast="0" w:name="_whox9f81n1ut" w:id="28"/>
      <w:bookmarkEnd w:id="28"/>
      <w:r w:rsidDel="00000000" w:rsidR="00000000" w:rsidRPr="00000000">
        <w:rPr>
          <w:rFonts w:ascii="Times New Roman" w:cs="Times New Roman" w:eastAsia="Times New Roman" w:hAnsi="Times New Roman"/>
          <w:b w:val="1"/>
          <w:bCs w:val="1"/>
          <w:rtl w:val="0"/>
        </w:rPr>
        <w:t xml:space="preserve">Chapitre 2 : Présentation de </w:t>
      </w:r>
      <w:r w:rsidDel="00000000" w:rsidR="00000000" w:rsidRPr="00000000">
        <w:rPr>
          <w:rFonts w:ascii="Times New Roman" w:cs="Times New Roman" w:eastAsia="Times New Roman" w:hAnsi="Times New Roman"/>
          <w:b w:val="1"/>
          <w:bCs w:val="1"/>
          <w:rtl w:val="0"/>
        </w:rPr>
        <w:t xml:space="preserve">MAHEIN</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spacing w:line="360" w:lineRule="auto"/>
        <w:rPr>
          <w:rFonts w:ascii="Times New Roman" w:cs="Times New Roman" w:eastAsia="Times New Roman" w:hAnsi="Times New Roman"/>
          <w:b w:val="1"/>
          <w:bCs w:val="1"/>
        </w:rPr>
      </w:pPr>
      <w:bookmarkStart w:colFirst="0" w:colLast="0" w:name="_a5eqcuv57tz7" w:id="29"/>
      <w:bookmarkEnd w:id="29"/>
      <w:r w:rsidDel="00000000" w:rsidR="00000000" w:rsidRPr="00000000">
        <w:rPr>
          <w:rFonts w:ascii="Times New Roman" w:cs="Times New Roman" w:eastAsia="Times New Roman" w:hAnsi="Times New Roman"/>
          <w:b w:val="1"/>
          <w:bCs w:val="1"/>
          <w:rtl w:val="0"/>
        </w:rPr>
        <w:t xml:space="preserve">Chapitre 3 : Présentation du projet</w:t>
      </w:r>
    </w:p>
    <w:p w:rsidR="00000000" w:rsidDel="00000000" w:rsidP="00000000" w:rsidRDefault="00000000" w:rsidRPr="00000000" w14:paraId="000000BA">
      <w:pPr>
        <w:pStyle w:val="Heading3"/>
        <w:spacing w:line="360" w:lineRule="auto"/>
        <w:rPr>
          <w:rFonts w:ascii="Times New Roman" w:cs="Times New Roman" w:eastAsia="Times New Roman" w:hAnsi="Times New Roman"/>
          <w:b w:val="1"/>
          <w:bCs w:val="1"/>
          <w:color w:val="000000"/>
        </w:rPr>
      </w:pPr>
      <w:bookmarkStart w:colFirst="0" w:colLast="0" w:name="_gpu6obe7xqco" w:id="30"/>
      <w:bookmarkEnd w:id="30"/>
      <w:r w:rsidDel="00000000" w:rsidR="00000000" w:rsidRPr="00000000">
        <w:rPr>
          <w:rFonts w:ascii="Times New Roman" w:cs="Times New Roman" w:eastAsia="Times New Roman" w:hAnsi="Times New Roman"/>
          <w:b w:val="1"/>
          <w:bCs w:val="1"/>
          <w:color w:val="000000"/>
          <w:rtl w:val="0"/>
        </w:rPr>
        <w:t xml:space="preserve">3.1.Contexte du projet</w:t>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l’environnement actuel des données, les entreprises doivent prendre une décision claire pour </w:t>
      </w:r>
      <w:r w:rsidDel="00000000" w:rsidR="00000000" w:rsidRPr="00000000">
        <w:rPr>
          <w:rFonts w:ascii="Times New Roman" w:cs="Times New Roman" w:eastAsia="Times New Roman" w:hAnsi="Times New Roman"/>
          <w:sz w:val="24"/>
          <w:szCs w:val="24"/>
          <w:rtl w:val="0"/>
        </w:rPr>
        <w:t xml:space="preserve">garantir</w:t>
      </w:r>
      <w:r w:rsidDel="00000000" w:rsidR="00000000" w:rsidRPr="00000000">
        <w:rPr>
          <w:rFonts w:ascii="Times New Roman" w:cs="Times New Roman" w:eastAsia="Times New Roman" w:hAnsi="Times New Roman"/>
          <w:sz w:val="24"/>
          <w:szCs w:val="24"/>
          <w:rtl w:val="0"/>
        </w:rPr>
        <w:t xml:space="preserve"> leur croissance, leur rentabilité et leur compétitivité. L’absence d’une vue globale et multidimensionnelle des indicateurs clé de performance(KPI) peut entraîner des choix stratégiques erronés, affectant la  performance et la réactivité de l’entreprise face aux défis du marché.</w:t>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tableau de bord d’aide à la décision 360 degrés est un outil stratégique qui offre une vue d’ensemble complète de la performance d’une entreprise en temps réel.Il collecte des données provenant de différentes sources et les analyse de manière cohérente pour fournir des insights utiles à tous les niveaux de l’organisation. </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tel outil permet non seulement de suivre l’évolution des performances en temps réel, mais aussi d'identifier des points faibles et des opportunités d’amélioration. L'approche analytique permet aussi de simuler différents cas et de prévoir les impacts de certaines décisions sur l’avenir de l’entreprise.</w:t>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L'intégration d’un tableau de bord d’aide à la décision 360 degrés avec des outils de reporting analytique offre un avantage concurrentiel en améliorant la visibilité,la réactivité et  la précision des décisions prises à différents niveaux de l’entreprise. </w:t>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quelle mesure l'utilisation d'un outil de reporting analytique pour le développement d'un tableau de bord d'aide à la décision 360° peut-elle améliorer la prise de décision et  permettre une gestion proactive des indicateurs de performance clés (KPI) dans une entreprise en évolution constante ? </w:t>
      </w:r>
    </w:p>
    <w:p w:rsidR="00000000" w:rsidDel="00000000" w:rsidP="00000000" w:rsidRDefault="00000000" w:rsidRPr="00000000" w14:paraId="000000C0">
      <w:pPr>
        <w:pStyle w:val="Heading3"/>
        <w:spacing w:line="360" w:lineRule="auto"/>
        <w:jc w:val="both"/>
        <w:rPr>
          <w:rFonts w:ascii="Times New Roman" w:cs="Times New Roman" w:eastAsia="Times New Roman" w:hAnsi="Times New Roman"/>
          <w:b w:val="1"/>
          <w:bCs w:val="1"/>
          <w:color w:val="000000"/>
        </w:rPr>
      </w:pPr>
      <w:bookmarkStart w:colFirst="0" w:colLast="0" w:name="_4id4jjaex2v8" w:id="31"/>
      <w:bookmarkEnd w:id="31"/>
      <w:r w:rsidDel="00000000" w:rsidR="00000000" w:rsidRPr="00000000">
        <w:rPr>
          <w:rFonts w:ascii="Times New Roman" w:cs="Times New Roman" w:eastAsia="Times New Roman" w:hAnsi="Times New Roman"/>
          <w:b w:val="1"/>
          <w:bCs w:val="1"/>
          <w:color w:val="000000"/>
          <w:rtl w:val="0"/>
        </w:rPr>
        <w:t xml:space="preserve">3.2.Objectif</w:t>
      </w:r>
    </w:p>
    <w:p w:rsidR="00000000" w:rsidDel="00000000" w:rsidP="00000000" w:rsidRDefault="00000000" w:rsidRPr="00000000" w14:paraId="000000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Notre objectif est de garantir la cohérence des données, il est essentiel de centraliser et de collecter les informations provenant de différentes sources, telles que le CRM, l’ERP, Microsoft Excel, les ventes en ligne et la comptabilité. Par exemple, en intégrant automatiquement les données des ventes avec celles du logiciel de gestion des stocks ou base de données ou fichiers, il devient possible de synchroniser les niveaux de stock et d’éviter les ruptures.</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L’intégration d’indicateurs clés de performance (KPI) multidimensionnels permet de couvrir tous les aspects importants des activités de l’entreprise, notamment les ventes, la satisfaction client et la gestion des stocks. Ainsi, en combinant le taux de conversion des ventes avec le taux de satisfaction client, il est possible d’analyser l’impact de l’expérience utilisateur sur les résultats financiers et d’ajuster les stratégies marketing en conséquence.</w:t>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Enfin, l’utilisation de graphiques, de diagrammes et de tableaux permet de présenter ces KPI de manière claire et visuelle, facilitant ainsi leur interprétation par les équipes. Par exemple, un tableau de bord affichant un graphique en courbes des ventes mensuelles, un histogramme du taux de fidélisation client et un indicateur signalant les stocks faibles permet d’identifier rapidement les tendances et d’optimiser la prise de décision.</w:t>
      </w:r>
    </w:p>
    <w:p w:rsidR="00000000" w:rsidDel="00000000" w:rsidP="00000000" w:rsidRDefault="00000000" w:rsidRPr="00000000" w14:paraId="000000C4">
      <w:pPr>
        <w:pStyle w:val="Heading3"/>
        <w:spacing w:after="240" w:before="240" w:line="360" w:lineRule="auto"/>
        <w:jc w:val="both"/>
        <w:rPr>
          <w:rFonts w:ascii="Times New Roman" w:cs="Times New Roman" w:eastAsia="Times New Roman" w:hAnsi="Times New Roman"/>
          <w:b w:val="1"/>
          <w:bCs w:val="1"/>
          <w:color w:val="000000"/>
        </w:rPr>
      </w:pPr>
      <w:bookmarkStart w:colFirst="0" w:colLast="0" w:name="_m9y2hlwk8xzt" w:id="32"/>
      <w:bookmarkEnd w:id="32"/>
      <w:r w:rsidDel="00000000" w:rsidR="00000000" w:rsidRPr="00000000">
        <w:rPr>
          <w:rFonts w:ascii="Times New Roman" w:cs="Times New Roman" w:eastAsia="Times New Roman" w:hAnsi="Times New Roman"/>
          <w:b w:val="1"/>
          <w:bCs w:val="1"/>
          <w:color w:val="000000"/>
          <w:rtl w:val="0"/>
        </w:rPr>
        <w:t xml:space="preserve">3.3.Besoin d’utilisateurs</w:t>
      </w:r>
    </w:p>
    <w:p w:rsidR="00000000" w:rsidDel="00000000" w:rsidP="00000000" w:rsidRDefault="00000000" w:rsidRPr="00000000" w14:paraId="000000C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tableau de bord d’aide à la décision 360° doit être intuitif et adapté aux besoins des différents utilisateurs. Il vise à faciliter l’analyse des données et à améliorer la prise de décision selon les exigences métier.</w:t>
      </w:r>
    </w:p>
    <w:p w:rsidR="00000000" w:rsidDel="00000000" w:rsidP="00000000" w:rsidRDefault="00000000" w:rsidRPr="00000000" w14:paraId="000000C6">
      <w:pPr>
        <w:numPr>
          <w:ilvl w:val="0"/>
          <w:numId w:val="4"/>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Accès à tous les indicateurs clés de performance (KPI):</w:t>
      </w:r>
      <w:r w:rsidDel="00000000" w:rsidR="00000000" w:rsidRPr="00000000">
        <w:rPr>
          <w:rFonts w:ascii="Times New Roman" w:cs="Times New Roman" w:eastAsia="Times New Roman" w:hAnsi="Times New Roman"/>
          <w:sz w:val="24"/>
          <w:szCs w:val="24"/>
          <w:rtl w:val="0"/>
        </w:rPr>
        <w:t xml:space="preserve"> Les utilisateurs ont besoin d’une vision globale et détaillée des principaux KPI afin de suivre la performance de l’entreprise. Le tableau de bord doit regrouper et afficher ces indicateurs de manière claire et interactive pour faciliter l’analyse et la prise de décision.</w:t>
      </w:r>
    </w:p>
    <w:p w:rsidR="00000000" w:rsidDel="00000000" w:rsidP="00000000" w:rsidRDefault="00000000" w:rsidRPr="00000000" w14:paraId="000000C7">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Suivi de l'évolution des métriques clés:</w:t>
      </w:r>
      <w:r w:rsidDel="00000000" w:rsidR="00000000" w:rsidRPr="00000000">
        <w:rPr>
          <w:rFonts w:ascii="Times New Roman" w:cs="Times New Roman" w:eastAsia="Times New Roman" w:hAnsi="Times New Roman"/>
          <w:sz w:val="24"/>
          <w:szCs w:val="24"/>
          <w:rtl w:val="0"/>
        </w:rPr>
        <w:t xml:space="preserve">Les utilisateurs doivent pouvoir analyser l’évolution des principales métriques, telles que le nombre de ventes, le chiffre d’affaires et les quantités vendues. Le tableau de bord doit permettre de comparer ces indicateurs sur différentes périodes afin d’identifier les tendances et d’optimiser les décisions stratégiques.</w:t>
      </w:r>
    </w:p>
    <w:p w:rsidR="00000000" w:rsidDel="00000000" w:rsidP="00000000" w:rsidRDefault="00000000" w:rsidRPr="00000000" w14:paraId="000000C8">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Filtrage par période:</w:t>
      </w:r>
      <w:r w:rsidDel="00000000" w:rsidR="00000000" w:rsidRPr="00000000">
        <w:rPr>
          <w:rFonts w:ascii="Times New Roman" w:cs="Times New Roman" w:eastAsia="Times New Roman" w:hAnsi="Times New Roman"/>
          <w:sz w:val="24"/>
          <w:szCs w:val="24"/>
          <w:rtl w:val="0"/>
        </w:rPr>
        <w:t xml:space="preserve">Les utilisateurs doivent pouvoir filtrer les données selon différentes périodes (jour, semaine, mois, trimestre, année) afin d’analyser l’évolution des indicateurs clés et d’adapter leurs décisions en fonction des tendances observées.</w:t>
      </w:r>
    </w:p>
    <w:p w:rsidR="00000000" w:rsidDel="00000000" w:rsidP="00000000" w:rsidRDefault="00000000" w:rsidRPr="00000000" w14:paraId="000000C9">
      <w:pPr>
        <w:numPr>
          <w:ilvl w:val="0"/>
          <w:numId w:val="4"/>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Filtrage par magasin et par ville:</w:t>
      </w:r>
      <w:r w:rsidDel="00000000" w:rsidR="00000000" w:rsidRPr="00000000">
        <w:rPr>
          <w:rFonts w:ascii="Times New Roman" w:cs="Times New Roman" w:eastAsia="Times New Roman" w:hAnsi="Times New Roman"/>
          <w:sz w:val="24"/>
          <w:szCs w:val="24"/>
          <w:rtl w:val="0"/>
        </w:rPr>
        <w:t xml:space="preserve">Les utilisateurs doivent pouvoir affiner leur analyse en filtrant les données par magasin et par ville. Cela permet de comparer les performances entre différentes localisations, d’identifier les écarts et d’adapter les stratégies commerciales en fonction des spécificités régionales.</w:t>
      </w:r>
    </w:p>
    <w:p w:rsidR="00000000" w:rsidDel="00000000" w:rsidP="00000000" w:rsidRDefault="00000000" w:rsidRPr="00000000" w14:paraId="000000CA">
      <w:pPr>
        <w:pStyle w:val="Heading3"/>
        <w:rPr/>
      </w:pPr>
      <w:bookmarkStart w:colFirst="0" w:colLast="0" w:name="_x0r7501t78bo" w:id="33"/>
      <w:bookmarkEnd w:id="33"/>
      <w:r w:rsidDel="00000000" w:rsidR="00000000" w:rsidRPr="00000000">
        <w:rPr>
          <w:rFonts w:ascii="Times New Roman" w:cs="Times New Roman" w:eastAsia="Times New Roman" w:hAnsi="Times New Roman"/>
          <w:b w:val="1"/>
          <w:bCs w:val="1"/>
          <w:color w:val="000000"/>
          <w:rtl w:val="0"/>
        </w:rPr>
        <w:t xml:space="preserve">3.4.Résultat attendu</w:t>
      </w:r>
      <w:r w:rsidDel="00000000" w:rsidR="00000000" w:rsidRPr="00000000">
        <w:rPr>
          <w:rtl w:val="0"/>
        </w:rPr>
        <w:t xml:space="preserve"> </w:t>
      </w:r>
    </w:p>
    <w:p w:rsidR="00000000" w:rsidDel="00000000" w:rsidP="00000000" w:rsidRDefault="00000000" w:rsidRPr="00000000" w14:paraId="000000C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tableau de bord offrira un accès centralisé et interactif aux principaux indicateurs de performance, permettant aux utilisateurs de suivre l’évolution des ventes, du chiffre d’affaires et des quantités vendues. Ils pourront analyser ces métriques sur différentes périodes (jour, semaine, mois, trimestre, année) afin d’identifier les tendances et d’optimiser leurs décisions stratégiques. De plus, des filtres avancés par magasin et par ville leur permettront de comparer les performances entre différentes localisations et d’adapter les stratégies commerciales en fonction des spécificités régionales. L’interface intuitive et ergonomique intégrera des graphiques dynamiques et des tableaux de synthèse pour une lecture rapide et efficace des données, facilitant ainsi l’analyse et la prise de décision.</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Style w:val="Heading1"/>
        <w:jc w:val="center"/>
        <w:rPr>
          <w:rFonts w:ascii="Times New Roman" w:cs="Times New Roman" w:eastAsia="Times New Roman" w:hAnsi="Times New Roman"/>
          <w:b w:val="1"/>
          <w:bCs w:val="1"/>
          <w:sz w:val="36"/>
          <w:szCs w:val="36"/>
        </w:rPr>
      </w:pPr>
      <w:bookmarkStart w:colFirst="0" w:colLast="0" w:name="_ke01r1buvtw3" w:id="34"/>
      <w:bookmarkEnd w:id="34"/>
      <w:r w:rsidDel="00000000" w:rsidR="00000000" w:rsidRPr="00000000">
        <w:rPr>
          <w:rFonts w:ascii="Times New Roman" w:cs="Times New Roman" w:eastAsia="Times New Roman" w:hAnsi="Times New Roman"/>
          <w:b w:val="1"/>
          <w:bCs w:val="1"/>
          <w:sz w:val="36"/>
          <w:szCs w:val="36"/>
          <w:rtl w:val="0"/>
        </w:rPr>
        <w:t xml:space="preserve">Partie II : Analyse et Conception du projet</w:t>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rPr>
          <w:rFonts w:ascii="Times New Roman" w:cs="Times New Roman" w:eastAsia="Times New Roman" w:hAnsi="Times New Roman"/>
          <w:b w:val="1"/>
          <w:bCs w:val="1"/>
        </w:rPr>
      </w:pPr>
      <w:bookmarkStart w:colFirst="0" w:colLast="0" w:name="_1ua6ep4p0qc7" w:id="35"/>
      <w:bookmarkEnd w:id="35"/>
      <w:r w:rsidDel="00000000" w:rsidR="00000000" w:rsidRPr="00000000">
        <w:rPr>
          <w:rFonts w:ascii="Times New Roman" w:cs="Times New Roman" w:eastAsia="Times New Roman" w:hAnsi="Times New Roman"/>
          <w:b w:val="1"/>
          <w:bCs w:val="1"/>
          <w:rtl w:val="0"/>
        </w:rPr>
        <w:t xml:space="preserve">Chapitre 4 :Etat de l’art</w:t>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rPr>
          <w:rFonts w:ascii="Times New Roman" w:cs="Times New Roman" w:eastAsia="Times New Roman" w:hAnsi="Times New Roman"/>
          <w:b w:val="1"/>
          <w:bCs w:val="1"/>
        </w:rPr>
      </w:pPr>
      <w:bookmarkStart w:colFirst="0" w:colLast="0" w:name="_slor4hb2x1oa" w:id="36"/>
      <w:bookmarkEnd w:id="36"/>
      <w:r w:rsidDel="00000000" w:rsidR="00000000" w:rsidRPr="00000000">
        <w:rPr>
          <w:rFonts w:ascii="Times New Roman" w:cs="Times New Roman" w:eastAsia="Times New Roman" w:hAnsi="Times New Roman"/>
          <w:b w:val="1"/>
          <w:bCs w:val="1"/>
          <w:rtl w:val="0"/>
        </w:rPr>
        <w:t xml:space="preserve">Chapitre 5 : Méthodes et notations utilisées</w:t>
      </w:r>
    </w:p>
    <w:p w:rsidR="00000000" w:rsidDel="00000000" w:rsidP="00000000" w:rsidRDefault="00000000" w:rsidRPr="00000000" w14:paraId="000000D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ce chapitre, les méthodes et les notations utilisées jouent un rôle central. Dans notre cas, la création d’un tableau de bord implique plusieurs étapes clés telles que la centralisation des données, leur nettoyage, leur analyse et leur visualisation. Ces différentes méthodes s’inscrivent pleinement dans le cadre de la Business Intelligence (BI), ou informatique décisionnelle, qui vise à transformer les données brutes en informations exploitables pour faciliter la prise de décision. </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3"/>
        <w:rPr>
          <w:rFonts w:ascii="Times New Roman" w:cs="Times New Roman" w:eastAsia="Times New Roman" w:hAnsi="Times New Roman"/>
          <w:b w:val="1"/>
          <w:bCs w:val="1"/>
          <w:color w:val="000000"/>
          <w:highlight w:val="white"/>
        </w:rPr>
      </w:pPr>
      <w:bookmarkStart w:colFirst="0" w:colLast="0" w:name="_der9kotc563u" w:id="37"/>
      <w:bookmarkEnd w:id="37"/>
      <w:r w:rsidDel="00000000" w:rsidR="00000000" w:rsidRPr="00000000">
        <w:rPr>
          <w:rFonts w:ascii="Times New Roman" w:cs="Times New Roman" w:eastAsia="Times New Roman" w:hAnsi="Times New Roman"/>
          <w:b w:val="1"/>
          <w:bCs w:val="1"/>
          <w:color w:val="000000"/>
          <w:rtl w:val="0"/>
        </w:rPr>
        <w:t xml:space="preserve">5.1.</w:t>
      </w:r>
      <w:r w:rsidDel="00000000" w:rsidR="00000000" w:rsidRPr="00000000">
        <w:rPr>
          <w:rFonts w:ascii="Times New Roman" w:cs="Times New Roman" w:eastAsia="Times New Roman" w:hAnsi="Times New Roman"/>
          <w:b w:val="1"/>
          <w:bCs w:val="1"/>
          <w:color w:val="000000"/>
          <w:highlight w:val="white"/>
          <w:rtl w:val="0"/>
        </w:rPr>
        <w:t xml:space="preserve">Business Intelligence</w:t>
      </w:r>
    </w:p>
    <w:p w:rsidR="00000000" w:rsidDel="00000000" w:rsidP="00000000" w:rsidRDefault="00000000" w:rsidRPr="00000000" w14:paraId="000000E0">
      <w:pPr>
        <w:pStyle w:val="Heading4"/>
        <w:ind w:firstLine="720"/>
        <w:rPr>
          <w:rFonts w:ascii="Times New Roman" w:cs="Times New Roman" w:eastAsia="Times New Roman" w:hAnsi="Times New Roman"/>
          <w:sz w:val="24"/>
          <w:szCs w:val="24"/>
        </w:rPr>
      </w:pPr>
      <w:bookmarkStart w:colFirst="0" w:colLast="0" w:name="_4xjf54d6nu3l" w:id="38"/>
      <w:bookmarkEnd w:id="38"/>
      <w:r w:rsidDel="00000000" w:rsidR="00000000" w:rsidRPr="00000000">
        <w:rPr>
          <w:rFonts w:ascii="Times New Roman" w:cs="Times New Roman" w:eastAsia="Times New Roman" w:hAnsi="Times New Roman"/>
          <w:b w:val="1"/>
          <w:bCs w:val="1"/>
          <w:color w:val="000000"/>
          <w:sz w:val="26"/>
          <w:szCs w:val="26"/>
          <w:rtl w:val="0"/>
        </w:rPr>
        <w:t xml:space="preserve">5.1.1.Définition</w:t>
      </w:r>
      <w:r w:rsidDel="00000000" w:rsidR="00000000" w:rsidRPr="00000000">
        <w:rPr>
          <w:rtl w:val="0"/>
        </w:rPr>
      </w:r>
    </w:p>
    <w:p w:rsidR="00000000" w:rsidDel="00000000" w:rsidP="00000000" w:rsidRDefault="00000000" w:rsidRPr="00000000" w14:paraId="000000E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L’informatique décisionnelle, également Business Intelligence ou BI en anglais, désigne les moyens, les méthodes et les outils qui apportent des solutions en vue d’offrir une aide à la décision aux professionnels afin de leur permettre d’avoir une vue d’ensemble sur l’activité de l’entreprise et de leur permettre de prendre des décisions plus avisées à travers des tableaux de bord de suivi et des analyses.</w:t>
      </w:r>
    </w:p>
    <w:p w:rsidR="00000000" w:rsidDel="00000000" w:rsidP="00000000" w:rsidRDefault="00000000" w:rsidRPr="00000000" w14:paraId="000000E2">
      <w:pPr>
        <w:pStyle w:val="Heading4"/>
        <w:ind w:firstLine="720"/>
        <w:rPr>
          <w:rFonts w:ascii="Times New Roman" w:cs="Times New Roman" w:eastAsia="Times New Roman" w:hAnsi="Times New Roman"/>
          <w:b w:val="1"/>
          <w:bCs w:val="1"/>
          <w:color w:val="000000"/>
        </w:rPr>
      </w:pPr>
      <w:bookmarkStart w:colFirst="0" w:colLast="0" w:name="_6b4znrgcluvc" w:id="39"/>
      <w:bookmarkEnd w:id="39"/>
      <w:r w:rsidDel="00000000" w:rsidR="00000000" w:rsidRPr="00000000">
        <w:rPr>
          <w:rFonts w:ascii="Times New Roman" w:cs="Times New Roman" w:eastAsia="Times New Roman" w:hAnsi="Times New Roman"/>
          <w:b w:val="1"/>
          <w:bCs w:val="1"/>
          <w:color w:val="000000"/>
          <w:rtl w:val="0"/>
        </w:rPr>
        <w:t xml:space="preserve">5.1.2.Avantages BI</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Déployer une solution BI apporte de nombreux avantages :</w:t>
      </w:r>
    </w:p>
    <w:p w:rsidR="00000000" w:rsidDel="00000000" w:rsidP="00000000" w:rsidRDefault="00000000" w:rsidRPr="00000000" w14:paraId="000000E4">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Améliorer la visibilité sur les chiffres, les écarts et les anomalies.</w:t>
      </w:r>
    </w:p>
    <w:p w:rsidR="00000000" w:rsidDel="00000000" w:rsidP="00000000" w:rsidRDefault="00000000" w:rsidRPr="00000000" w14:paraId="000000E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combinaison de plusieurs sources de données (ERP, systèmes comptable,feuilles de calcul, des budgets ...).</w:t>
      </w:r>
    </w:p>
    <w:p w:rsidR="00000000" w:rsidDel="00000000" w:rsidP="00000000" w:rsidRDefault="00000000" w:rsidRPr="00000000" w14:paraId="000000E6">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présentation uniforme d’informations fiables.</w:t>
      </w:r>
    </w:p>
    <w:p w:rsidR="00000000" w:rsidDel="00000000" w:rsidP="00000000" w:rsidRDefault="00000000" w:rsidRPr="00000000" w14:paraId="000000E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L’automatisation permettant l’accélération de la collecte et de la diffusion de l’information.</w:t>
      </w:r>
    </w:p>
    <w:p w:rsidR="00000000" w:rsidDel="00000000" w:rsidP="00000000" w:rsidRDefault="00000000" w:rsidRPr="00000000" w14:paraId="000000E8">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performance dans le calcul d’agrégats sur de gros volumes de données.</w:t>
      </w:r>
    </w:p>
    <w:p w:rsidR="00000000" w:rsidDel="00000000" w:rsidP="00000000" w:rsidRDefault="00000000" w:rsidRPr="00000000" w14:paraId="000000E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prise de décision grâce à des indicateurs pertinents et à une structure cohérente des informations.</w:t>
      </w:r>
    </w:p>
    <w:p w:rsidR="00000000" w:rsidDel="00000000" w:rsidP="00000000" w:rsidRDefault="00000000" w:rsidRPr="00000000" w14:paraId="000000E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prise de décision grâce à des indicateurs pertinents et à une structure cohérente des informations.</w:t>
      </w:r>
    </w:p>
    <w:p w:rsidR="00000000" w:rsidDel="00000000" w:rsidP="00000000" w:rsidRDefault="00000000" w:rsidRPr="00000000" w14:paraId="000000E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E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Style w:val="Heading4"/>
        <w:ind w:firstLine="720"/>
        <w:rPr/>
      </w:pPr>
      <w:bookmarkStart w:colFirst="0" w:colLast="0" w:name="_et694g1c0ygl" w:id="40"/>
      <w:bookmarkEnd w:id="40"/>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2"/>
        <w:rPr>
          <w:rFonts w:ascii="Times New Roman" w:cs="Times New Roman" w:eastAsia="Times New Roman" w:hAnsi="Times New Roman"/>
          <w:b w:val="1"/>
          <w:bCs w:val="1"/>
        </w:rPr>
      </w:pPr>
      <w:bookmarkStart w:colFirst="0" w:colLast="0" w:name="_mmkudtj5yn9o" w:id="41"/>
      <w:bookmarkEnd w:id="41"/>
      <w:r w:rsidDel="00000000" w:rsidR="00000000" w:rsidRPr="00000000">
        <w:rPr>
          <w:rFonts w:ascii="Times New Roman" w:cs="Times New Roman" w:eastAsia="Times New Roman" w:hAnsi="Times New Roman"/>
          <w:b w:val="1"/>
          <w:bCs w:val="1"/>
          <w:rtl w:val="0"/>
        </w:rPr>
        <w:t xml:space="preserve">Chapitre 6 : Conception du projet</w:t>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jc w:val="center"/>
        <w:rPr>
          <w:rFonts w:ascii="Times New Roman" w:cs="Times New Roman" w:eastAsia="Times New Roman" w:hAnsi="Times New Roman"/>
          <w:b w:val="1"/>
          <w:bCs w:val="1"/>
          <w:sz w:val="36"/>
          <w:szCs w:val="36"/>
        </w:rPr>
      </w:pPr>
      <w:bookmarkStart w:colFirst="0" w:colLast="0" w:name="_8p79vtt7mox" w:id="42"/>
      <w:bookmarkEnd w:id="42"/>
      <w:r w:rsidDel="00000000" w:rsidR="00000000" w:rsidRPr="00000000">
        <w:rPr>
          <w:rtl w:val="0"/>
        </w:rPr>
      </w:r>
    </w:p>
    <w:p w:rsidR="00000000" w:rsidDel="00000000" w:rsidP="00000000" w:rsidRDefault="00000000" w:rsidRPr="00000000" w14:paraId="00000103">
      <w:pPr>
        <w:pStyle w:val="Heading1"/>
        <w:jc w:val="center"/>
        <w:rPr>
          <w:rFonts w:ascii="Times New Roman" w:cs="Times New Roman" w:eastAsia="Times New Roman" w:hAnsi="Times New Roman"/>
          <w:b w:val="1"/>
          <w:bCs w:val="1"/>
          <w:sz w:val="36"/>
          <w:szCs w:val="36"/>
        </w:rPr>
      </w:pPr>
      <w:bookmarkStart w:colFirst="0" w:colLast="0" w:name="_ewbcyfc5xmbo" w:id="43"/>
      <w:bookmarkEnd w:id="43"/>
      <w:r w:rsidDel="00000000" w:rsidR="00000000" w:rsidRPr="00000000">
        <w:rPr>
          <w:rFonts w:ascii="Times New Roman" w:cs="Times New Roman" w:eastAsia="Times New Roman" w:hAnsi="Times New Roman"/>
          <w:b w:val="1"/>
          <w:bCs w:val="1"/>
          <w:sz w:val="36"/>
          <w:szCs w:val="36"/>
          <w:rtl w:val="0"/>
        </w:rPr>
        <w:t xml:space="preserve">Partie III : Réalisation du projet</w:t>
      </w:r>
    </w:p>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2"/>
        <w:rPr>
          <w:rFonts w:ascii="Times New Roman" w:cs="Times New Roman" w:eastAsia="Times New Roman" w:hAnsi="Times New Roman"/>
          <w:b w:val="1"/>
          <w:bCs w:val="1"/>
        </w:rPr>
      </w:pPr>
      <w:bookmarkStart w:colFirst="0" w:colLast="0" w:name="_rud4vj4ja7rs" w:id="44"/>
      <w:bookmarkEnd w:id="44"/>
      <w:r w:rsidDel="00000000" w:rsidR="00000000" w:rsidRPr="00000000">
        <w:rPr>
          <w:rFonts w:ascii="Times New Roman" w:cs="Times New Roman" w:eastAsia="Times New Roman" w:hAnsi="Times New Roman"/>
          <w:b w:val="1"/>
          <w:bCs w:val="1"/>
          <w:rtl w:val="0"/>
        </w:rPr>
        <w:t xml:space="preserve">Chapitre 7 : Spécification des outils de réalisation</w:t>
      </w:r>
    </w:p>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2"/>
        <w:rPr>
          <w:rFonts w:ascii="Times New Roman" w:cs="Times New Roman" w:eastAsia="Times New Roman" w:hAnsi="Times New Roman"/>
          <w:b w:val="1"/>
          <w:bCs w:val="1"/>
        </w:rPr>
      </w:pPr>
      <w:bookmarkStart w:colFirst="0" w:colLast="0" w:name="_rva7zx5eqpze" w:id="45"/>
      <w:bookmarkEnd w:id="45"/>
      <w:r w:rsidDel="00000000" w:rsidR="00000000" w:rsidRPr="00000000">
        <w:rPr>
          <w:rFonts w:ascii="Times New Roman" w:cs="Times New Roman" w:eastAsia="Times New Roman" w:hAnsi="Times New Roman"/>
          <w:b w:val="1"/>
          <w:bCs w:val="1"/>
          <w:rtl w:val="0"/>
        </w:rPr>
        <w:t xml:space="preserve">Chapitre 8 : Mise en œuvre et implémentation</w:t>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2"/>
        <w:rPr>
          <w:rFonts w:ascii="Times New Roman" w:cs="Times New Roman" w:eastAsia="Times New Roman" w:hAnsi="Times New Roman"/>
          <w:b w:val="1"/>
          <w:bCs w:val="1"/>
        </w:rPr>
      </w:pPr>
      <w:bookmarkStart w:colFirst="0" w:colLast="0" w:name="_n558oy357twt" w:id="46"/>
      <w:bookmarkEnd w:id="46"/>
      <w:r w:rsidDel="00000000" w:rsidR="00000000" w:rsidRPr="00000000">
        <w:rPr>
          <w:rFonts w:ascii="Times New Roman" w:cs="Times New Roman" w:eastAsia="Times New Roman" w:hAnsi="Times New Roman"/>
          <w:b w:val="1"/>
          <w:bCs w:val="1"/>
          <w:rtl w:val="0"/>
        </w:rPr>
        <w:t xml:space="preserve">Chapitre 9 : Présentation de l’application développée</w:t>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jc w:val="center"/>
        <w:rPr>
          <w:rFonts w:ascii="Times New Roman" w:cs="Times New Roman" w:eastAsia="Times New Roman" w:hAnsi="Times New Roman"/>
          <w:b w:val="1"/>
          <w:bCs w:val="1"/>
          <w:sz w:val="36"/>
          <w:szCs w:val="36"/>
        </w:rPr>
      </w:pPr>
      <w:bookmarkStart w:colFirst="0" w:colLast="0" w:name="_u7iqx3tq59id" w:id="47"/>
      <w:bookmarkEnd w:id="47"/>
      <w:r w:rsidDel="00000000" w:rsidR="00000000" w:rsidRPr="00000000">
        <w:rPr>
          <w:rFonts w:ascii="Times New Roman" w:cs="Times New Roman" w:eastAsia="Times New Roman" w:hAnsi="Times New Roman"/>
          <w:b w:val="1"/>
          <w:bCs w:val="1"/>
          <w:sz w:val="36"/>
          <w:szCs w:val="36"/>
          <w:rtl w:val="0"/>
        </w:rPr>
        <w:t xml:space="preserve"> Conclusion</w:t>
      </w:r>
    </w:p>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jc w:val="center"/>
        <w:rPr>
          <w:rFonts w:ascii="Times New Roman" w:cs="Times New Roman" w:eastAsia="Times New Roman" w:hAnsi="Times New Roman"/>
          <w:b w:val="1"/>
          <w:bCs w:val="1"/>
          <w:sz w:val="36"/>
          <w:szCs w:val="36"/>
        </w:rPr>
      </w:pPr>
      <w:bookmarkStart w:colFirst="0" w:colLast="0" w:name="_gprhj68v6xm9" w:id="48"/>
      <w:bookmarkEnd w:id="48"/>
      <w:r w:rsidDel="00000000" w:rsidR="00000000" w:rsidRPr="00000000">
        <w:rPr>
          <w:rFonts w:ascii="Times New Roman" w:cs="Times New Roman" w:eastAsia="Times New Roman" w:hAnsi="Times New Roman"/>
          <w:b w:val="1"/>
          <w:bCs w:val="1"/>
          <w:sz w:val="36"/>
          <w:szCs w:val="36"/>
          <w:rtl w:val="0"/>
        </w:rPr>
        <w:t xml:space="preserve">Perspectives </w:t>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jc w:val="center"/>
        <w:rPr>
          <w:rFonts w:ascii="Times New Roman" w:cs="Times New Roman" w:eastAsia="Times New Roman" w:hAnsi="Times New Roman"/>
          <w:b w:val="1"/>
          <w:bCs w:val="1"/>
          <w:sz w:val="36"/>
          <w:szCs w:val="36"/>
        </w:rPr>
      </w:pPr>
      <w:bookmarkStart w:colFirst="0" w:colLast="0" w:name="_71x3ac4nfu40" w:id="49"/>
      <w:bookmarkEnd w:id="49"/>
      <w:r w:rsidDel="00000000" w:rsidR="00000000" w:rsidRPr="00000000">
        <w:rPr>
          <w:rFonts w:ascii="Times New Roman" w:cs="Times New Roman" w:eastAsia="Times New Roman" w:hAnsi="Times New Roman"/>
          <w:b w:val="1"/>
          <w:bCs w:val="1"/>
          <w:sz w:val="36"/>
          <w:szCs w:val="36"/>
          <w:rtl w:val="0"/>
        </w:rPr>
        <w:t xml:space="preserve">Bibliographie</w:t>
      </w:r>
    </w:p>
    <w:p w:rsidR="00000000" w:rsidDel="00000000" w:rsidP="00000000" w:rsidRDefault="00000000" w:rsidRPr="00000000" w14:paraId="00000110">
      <w:pPr>
        <w:pStyle w:val="Heading1"/>
        <w:jc w:val="center"/>
        <w:rPr>
          <w:rFonts w:ascii="Times New Roman" w:cs="Times New Roman" w:eastAsia="Times New Roman" w:hAnsi="Times New Roman"/>
          <w:b w:val="1"/>
          <w:bCs w:val="1"/>
          <w:sz w:val="36"/>
          <w:szCs w:val="36"/>
        </w:rPr>
      </w:pPr>
      <w:bookmarkStart w:colFirst="0" w:colLast="0" w:name="_yhtkvoqrm2qv" w:id="50"/>
      <w:bookmarkEnd w:id="50"/>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jc w:val="center"/>
        <w:rPr>
          <w:rFonts w:ascii="Times New Roman" w:cs="Times New Roman" w:eastAsia="Times New Roman" w:hAnsi="Times New Roman"/>
          <w:b w:val="1"/>
          <w:bCs w:val="1"/>
          <w:sz w:val="36"/>
          <w:szCs w:val="36"/>
        </w:rPr>
      </w:pPr>
      <w:bookmarkStart w:colFirst="0" w:colLast="0" w:name="_nlu530mj36ib" w:id="51"/>
      <w:bookmarkEnd w:id="51"/>
      <w:r w:rsidDel="00000000" w:rsidR="00000000" w:rsidRPr="00000000">
        <w:rPr>
          <w:rFonts w:ascii="Times New Roman" w:cs="Times New Roman" w:eastAsia="Times New Roman" w:hAnsi="Times New Roman"/>
          <w:b w:val="1"/>
          <w:bCs w:val="1"/>
          <w:sz w:val="36"/>
          <w:szCs w:val="36"/>
          <w:rtl w:val="0"/>
        </w:rPr>
        <w:t xml:space="preserve">Webographie</w:t>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jc w:val="center"/>
        <w:rPr>
          <w:rFonts w:ascii="Times New Roman" w:cs="Times New Roman" w:eastAsia="Times New Roman" w:hAnsi="Times New Roman"/>
          <w:b w:val="1"/>
          <w:bCs w:val="1"/>
          <w:sz w:val="36"/>
          <w:szCs w:val="36"/>
        </w:rPr>
      </w:pPr>
      <w:bookmarkStart w:colFirst="0" w:colLast="0" w:name="_dn389rc1vmf5" w:id="52"/>
      <w:bookmarkEnd w:id="52"/>
      <w:r w:rsidDel="00000000" w:rsidR="00000000" w:rsidRPr="00000000">
        <w:rPr>
          <w:rFonts w:ascii="Times New Roman" w:cs="Times New Roman" w:eastAsia="Times New Roman" w:hAnsi="Times New Roman"/>
          <w:b w:val="1"/>
          <w:bCs w:val="1"/>
          <w:sz w:val="36"/>
          <w:szCs w:val="36"/>
          <w:rtl w:val="0"/>
        </w:rPr>
        <w:t xml:space="preserve">Table des matières</w:t>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jc w:val="center"/>
        <w:rPr>
          <w:rFonts w:ascii="Times New Roman" w:cs="Times New Roman" w:eastAsia="Times New Roman" w:hAnsi="Times New Roman"/>
          <w:b w:val="1"/>
          <w:bCs w:val="1"/>
          <w:sz w:val="36"/>
          <w:szCs w:val="36"/>
        </w:rPr>
      </w:pPr>
      <w:bookmarkStart w:colFirst="0" w:colLast="0" w:name="_8sbsqive2u0e" w:id="53"/>
      <w:bookmarkEnd w:id="53"/>
      <w:r w:rsidDel="00000000" w:rsidR="00000000" w:rsidRPr="00000000">
        <w:rPr>
          <w:rFonts w:ascii="Times New Roman" w:cs="Times New Roman" w:eastAsia="Times New Roman" w:hAnsi="Times New Roman"/>
          <w:b w:val="1"/>
          <w:bCs w:val="1"/>
          <w:sz w:val="36"/>
          <w:szCs w:val="36"/>
          <w:rtl w:val="0"/>
        </w:rPr>
        <w:t xml:space="preserve">Résumé</w:t>
      </w:r>
    </w:p>
    <w:p w:rsidR="00000000" w:rsidDel="00000000" w:rsidP="00000000" w:rsidRDefault="00000000" w:rsidRPr="00000000" w14:paraId="00000116">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pStyle w:val="Heading5"/>
      <w:keepNext w:val="0"/>
      <w:keepLines w:val="0"/>
      <w:spacing w:after="40" w:before="220" w:lineRule="auto"/>
      <w:rPr>
        <w:rFonts w:ascii="Times New Roman" w:cs="Times New Roman" w:eastAsia="Times New Roman" w:hAnsi="Times New Roman"/>
      </w:rPr>
    </w:pPr>
    <w:bookmarkStart w:colFirst="0" w:colLast="0" w:name="_z6z2spo5iq2t" w:id="54"/>
    <w:bookmarkEnd w:id="54"/>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