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DF03B5" w14:textId="3BFC6C77" w:rsidR="009A51B8" w:rsidRPr="009A51B8" w:rsidRDefault="009A51B8" w:rsidP="009A51B8">
      <w:pPr>
        <w:spacing w:after="0" w:line="360" w:lineRule="auto"/>
        <w:jc w:val="center"/>
        <w:rPr>
          <w:rFonts w:cs="Times New Roman"/>
          <w:b/>
          <w:bCs/>
          <w:iCs/>
          <w:sz w:val="28"/>
          <w:szCs w:val="28"/>
          <w:lang w:val="es-ES"/>
        </w:rPr>
      </w:pPr>
      <w:r w:rsidRPr="009A51B8">
        <w:rPr>
          <w:rFonts w:cs="Times New Roman"/>
          <w:b/>
          <w:bCs/>
          <w:iCs/>
          <w:sz w:val="28"/>
          <w:szCs w:val="28"/>
          <w:lang w:val="es-ES"/>
        </w:rPr>
        <w:t>Resumen de indicadores Observatorio: julio-2026</w:t>
      </w:r>
    </w:p>
    <w:p w14:paraId="5D226954" w14:textId="64D89528" w:rsidR="009A51B8" w:rsidRPr="009A51B8" w:rsidRDefault="009A51B8" w:rsidP="009A51B8">
      <w:pPr>
        <w:spacing w:after="0" w:line="360" w:lineRule="auto"/>
        <w:jc w:val="center"/>
        <w:rPr>
          <w:rFonts w:cs="Times New Roman"/>
          <w:i/>
          <w:sz w:val="32"/>
          <w:szCs w:val="28"/>
          <w:lang w:val="es-ES"/>
        </w:rPr>
      </w:pPr>
      <w:r w:rsidRPr="009A51B8">
        <w:rPr>
          <w:rFonts w:cs="Times New Roman"/>
          <w:i/>
          <w:sz w:val="28"/>
          <w:szCs w:val="28"/>
          <w:lang w:val="es-ES"/>
        </w:rPr>
        <w:t>Bienestar comparado, felicidad, capital humano, ambiente y vida digital</w:t>
      </w:r>
    </w:p>
    <w:p w14:paraId="05F68394" w14:textId="77777777" w:rsidR="009A51B8" w:rsidRPr="009A51B8" w:rsidRDefault="009A51B8" w:rsidP="00CD5928">
      <w:pPr>
        <w:rPr>
          <w:rFonts w:cs="Times New Roman"/>
          <w:lang w:val="es-ES"/>
        </w:rPr>
      </w:pPr>
    </w:p>
    <w:p w14:paraId="4D140916" w14:textId="77777777" w:rsidR="000D11B9" w:rsidRPr="009A51B8" w:rsidRDefault="00000000" w:rsidP="00CD5928">
      <w:pPr>
        <w:pStyle w:val="Prrafodelista"/>
        <w:rPr>
          <w:rFonts w:cs="Times New Roman"/>
          <w:lang w:val="es-ES"/>
        </w:rPr>
      </w:pPr>
      <w:r w:rsidRPr="009A51B8">
        <w:rPr>
          <w:rFonts w:cs="Times New Roman"/>
          <w:lang w:val="es-ES"/>
        </w:rPr>
        <w:t xml:space="preserve">El bienestar integral ya no puede observarse únicamente a través del ingreso, el empleo o el crecimiento económico. Su análisis contemporáneo incorpora la calidad de las condiciones de vida, la acumulación de capacidades humanas, la sostenibilidad ambiental, la participación en el entorno digital y las dimensiones sociales y subjetivas del progreso. En ese marco, el Índice para una Vida Mejor de la OCDE, la Felicidad Nacional Bruta de Bután, el Human Capital </w:t>
      </w:r>
      <w:proofErr w:type="spellStart"/>
      <w:r w:rsidRPr="009A51B8">
        <w:rPr>
          <w:rFonts w:cs="Times New Roman"/>
          <w:lang w:val="es-ES"/>
        </w:rPr>
        <w:t>Index</w:t>
      </w:r>
      <w:proofErr w:type="spellEnd"/>
      <w:r w:rsidRPr="009A51B8">
        <w:rPr>
          <w:rFonts w:cs="Times New Roman"/>
          <w:lang w:val="es-ES"/>
        </w:rPr>
        <w:t xml:space="preserve"> del Banco Mundial, el </w:t>
      </w:r>
      <w:proofErr w:type="spellStart"/>
      <w:r w:rsidRPr="009A51B8">
        <w:rPr>
          <w:rFonts w:cs="Times New Roman"/>
          <w:lang w:val="es-ES"/>
        </w:rPr>
        <w:t>Environmental</w:t>
      </w:r>
      <w:proofErr w:type="spellEnd"/>
      <w:r w:rsidRPr="009A51B8">
        <w:rPr>
          <w:rFonts w:cs="Times New Roman"/>
          <w:lang w:val="es-ES"/>
        </w:rPr>
        <w:t xml:space="preserve"> Performance </w:t>
      </w:r>
      <w:proofErr w:type="spellStart"/>
      <w:r w:rsidRPr="009A51B8">
        <w:rPr>
          <w:rFonts w:cs="Times New Roman"/>
          <w:lang w:val="es-ES"/>
        </w:rPr>
        <w:t>Index</w:t>
      </w:r>
      <w:proofErr w:type="spellEnd"/>
      <w:r w:rsidRPr="009A51B8">
        <w:rPr>
          <w:rFonts w:cs="Times New Roman"/>
          <w:lang w:val="es-ES"/>
        </w:rPr>
        <w:t xml:space="preserve"> y el Digital </w:t>
      </w:r>
      <w:proofErr w:type="spellStart"/>
      <w:r w:rsidRPr="009A51B8">
        <w:rPr>
          <w:rFonts w:cs="Times New Roman"/>
          <w:lang w:val="es-ES"/>
        </w:rPr>
        <w:t>Quality</w:t>
      </w:r>
      <w:proofErr w:type="spellEnd"/>
      <w:r w:rsidRPr="009A51B8">
        <w:rPr>
          <w:rFonts w:cs="Times New Roman"/>
          <w:lang w:val="es-ES"/>
        </w:rPr>
        <w:t xml:space="preserve"> </w:t>
      </w:r>
      <w:proofErr w:type="spellStart"/>
      <w:r w:rsidRPr="009A51B8">
        <w:rPr>
          <w:rFonts w:cs="Times New Roman"/>
          <w:lang w:val="es-ES"/>
        </w:rPr>
        <w:t>of</w:t>
      </w:r>
      <w:proofErr w:type="spellEnd"/>
      <w:r w:rsidRPr="009A51B8">
        <w:rPr>
          <w:rFonts w:cs="Times New Roman"/>
          <w:lang w:val="es-ES"/>
        </w:rPr>
        <w:t xml:space="preserve"> Life </w:t>
      </w:r>
      <w:proofErr w:type="spellStart"/>
      <w:r w:rsidRPr="009A51B8">
        <w:rPr>
          <w:rFonts w:cs="Times New Roman"/>
          <w:lang w:val="es-ES"/>
        </w:rPr>
        <w:t>Index</w:t>
      </w:r>
      <w:proofErr w:type="spellEnd"/>
      <w:r w:rsidRPr="009A51B8">
        <w:rPr>
          <w:rFonts w:cs="Times New Roman"/>
          <w:lang w:val="es-ES"/>
        </w:rPr>
        <w:t xml:space="preserve"> ofrecen perspectivas complementarias para examinar cómo se configuran las oportunidades de bienestar en el tiempo.</w:t>
      </w:r>
    </w:p>
    <w:p w14:paraId="14AD6FEE" w14:textId="77777777" w:rsidR="000D11B9" w:rsidRPr="009A51B8" w:rsidRDefault="00000000" w:rsidP="00CD5928">
      <w:pPr>
        <w:pStyle w:val="Prrafodelista"/>
        <w:rPr>
          <w:rFonts w:cs="Times New Roman"/>
          <w:lang w:val="es-ES"/>
        </w:rPr>
      </w:pPr>
      <w:r w:rsidRPr="009A51B8">
        <w:rPr>
          <w:rFonts w:cs="Times New Roman"/>
          <w:lang w:val="es-ES"/>
        </w:rPr>
        <w:t>La lectura prospectiva de estos indicadores permite distinguir entre el dato observado y las trayectorias que podrían configurarse bajo diferentes supuestos. Por ello, las figuras siguientes separan periodos históricos, puntos de referencia y escenarios futuros, haciendo visible la incertidumbre que acompaña toda proyección. Las líneas centrales representan la trayectoria prevista en cada modelo, mientras las bandas, corredores o simulaciones expresan rutas alternativas asociadas con cambios institucionales, económicos, tecnológicos, ambientales y sociales.</w:t>
      </w:r>
    </w:p>
    <w:p w14:paraId="5CABB641" w14:textId="77777777" w:rsidR="000D11B9" w:rsidRPr="009A51B8" w:rsidRDefault="00000000">
      <w:pPr>
        <w:rPr>
          <w:rFonts w:cs="Times New Roman"/>
          <w:lang w:val="es-ES"/>
        </w:rPr>
      </w:pPr>
      <w:r w:rsidRPr="009A51B8">
        <w:rPr>
          <w:rFonts w:cs="Times New Roman"/>
          <w:lang w:val="es-ES"/>
        </w:rPr>
        <w:br w:type="page"/>
      </w:r>
    </w:p>
    <w:p w14:paraId="427BCFAD" w14:textId="77777777" w:rsidR="000D11B9" w:rsidRPr="009A51B8" w:rsidRDefault="00000000" w:rsidP="009A51B8">
      <w:pPr>
        <w:pStyle w:val="Ttulo1"/>
      </w:pPr>
      <w:r w:rsidRPr="009A51B8">
        <w:lastRenderedPageBreak/>
        <w:t>Índice para una Vida Mejor: el bienestar observado desde múltiples dimensiones</w:t>
      </w:r>
    </w:p>
    <w:p w14:paraId="22DB078D" w14:textId="0F319993" w:rsidR="000D11B9" w:rsidRPr="009A51B8" w:rsidRDefault="00000000" w:rsidP="00CD5928">
      <w:pPr>
        <w:pStyle w:val="Prrafodelista"/>
        <w:rPr>
          <w:rFonts w:cs="Times New Roman"/>
          <w:lang w:val="es-ES"/>
        </w:rPr>
      </w:pPr>
      <w:r w:rsidRPr="009A51B8">
        <w:rPr>
          <w:rFonts w:cs="Times New Roman"/>
          <w:lang w:val="es-ES"/>
        </w:rPr>
        <w:t xml:space="preserve">El Índice para una Vida Mejor de la Organización para la Cooperación y el Desarrollo Económicos (OCDE) propone una lectura multidimensional del bienestar que supera la comparación basada exclusivamente en la producción o el ingreso. Su marco considera condiciones materiales y factores de calidad de vida vinculados con vivienda, ingresos, empleo, comunidad, educación, ambiente, participación cívica, salud, satisfacción con la vida, seguridad y equilibrio entre trabajo y vida personal. En el panel prospectivo, esta arquitectura se operacionaliza mediante un puntaje agregado y ocho indicadores comparables: esperanza de vida, empleo, desempleo de larga duración, ingreso disponible ajustado, educación secundaria superior, homicidios, exposición a material particulado </w:t>
      </w:r>
      <w:proofErr w:type="spellStart"/>
      <w:r w:rsidRPr="009A51B8">
        <w:rPr>
          <w:rFonts w:cs="Times New Roman"/>
          <w:lang w:val="es-ES"/>
        </w:rPr>
        <w:t>PM2.5</w:t>
      </w:r>
      <w:proofErr w:type="spellEnd"/>
      <w:r w:rsidRPr="009A51B8">
        <w:rPr>
          <w:rFonts w:cs="Times New Roman"/>
          <w:lang w:val="es-ES"/>
        </w:rPr>
        <w:t xml:space="preserve"> y puntaje de bienestar </w:t>
      </w:r>
    </w:p>
    <w:p w14:paraId="494C0DD5" w14:textId="77777777" w:rsidR="000D11B9" w:rsidRPr="009A51B8" w:rsidRDefault="00000000" w:rsidP="00CD5928">
      <w:pPr>
        <w:pStyle w:val="Prrafodelista"/>
        <w:rPr>
          <w:rFonts w:cs="Times New Roman"/>
          <w:lang w:val="es-ES"/>
        </w:rPr>
      </w:pPr>
      <w:r w:rsidRPr="009A51B8">
        <w:rPr>
          <w:rFonts w:cs="Times New Roman"/>
          <w:b/>
          <w:lang w:val="es-ES"/>
        </w:rPr>
        <w:t xml:space="preserve">Uso del visualizador. </w:t>
      </w:r>
      <w:r w:rsidRPr="009A51B8">
        <w:rPr>
          <w:rFonts w:cs="Times New Roman"/>
          <w:lang w:val="es-ES"/>
        </w:rPr>
        <w:t xml:space="preserve">El cuaderno se ejecuta en Google </w:t>
      </w:r>
      <w:proofErr w:type="spellStart"/>
      <w:r w:rsidRPr="009A51B8">
        <w:rPr>
          <w:rFonts w:cs="Times New Roman"/>
          <w:lang w:val="es-ES"/>
        </w:rPr>
        <w:t>Colab</w:t>
      </w:r>
      <w:proofErr w:type="spellEnd"/>
      <w:r w:rsidRPr="009A51B8">
        <w:rPr>
          <w:rFonts w:cs="Times New Roman"/>
          <w:lang w:val="es-ES"/>
        </w:rPr>
        <w:t xml:space="preserve"> siguiendo el orden de las celdas y solicita cargar el archivo Excel consolidado del Índice para una Vida Mejor. El panel principal permite seleccionar país e indicador, consultar tarjetas de síntesis, ampliar periodos mediante </w:t>
      </w:r>
      <w:proofErr w:type="gramStart"/>
      <w:r w:rsidRPr="009A51B8">
        <w:rPr>
          <w:rFonts w:cs="Times New Roman"/>
          <w:lang w:val="es-ES"/>
        </w:rPr>
        <w:t>zoom</w:t>
      </w:r>
      <w:proofErr w:type="gramEnd"/>
      <w:r w:rsidRPr="009A51B8">
        <w:rPr>
          <w:rFonts w:cs="Times New Roman"/>
          <w:lang w:val="es-ES"/>
        </w:rPr>
        <w:t xml:space="preserve"> y utilizar botones de rango para separar historia y proyección. El constructor de escenarios modifica la amplitud optimista y restrictiva, así como la amortiguación de la tendencia; el módulo de ranking admite seleccionar varios países, un escenario y un intervalo de años. También se incluyen comparaciones entre Colombia y el promedio OCDE y un explorador </w:t>
      </w:r>
      <w:proofErr w:type="spellStart"/>
      <w:r w:rsidRPr="009A51B8">
        <w:rPr>
          <w:rFonts w:cs="Times New Roman"/>
          <w:lang w:val="es-ES"/>
        </w:rPr>
        <w:t>multipaís</w:t>
      </w:r>
      <w:proofErr w:type="spellEnd"/>
      <w:r w:rsidRPr="009A51B8">
        <w:rPr>
          <w:rFonts w:cs="Times New Roman"/>
          <w:lang w:val="es-ES"/>
        </w:rPr>
        <w:t xml:space="preserve"> por año. Al pasar el cursor sobre las series se muestran los valores correspondientes, y la barra de herramientas de </w:t>
      </w:r>
      <w:proofErr w:type="spellStart"/>
      <w:r w:rsidRPr="009A51B8">
        <w:rPr>
          <w:rFonts w:cs="Times New Roman"/>
          <w:lang w:val="es-ES"/>
        </w:rPr>
        <w:t>Plotly</w:t>
      </w:r>
      <w:proofErr w:type="spellEnd"/>
      <w:r w:rsidRPr="009A51B8">
        <w:rPr>
          <w:rFonts w:cs="Times New Roman"/>
          <w:lang w:val="es-ES"/>
        </w:rPr>
        <w:t xml:space="preserve"> permite descargar cada visualización como imagen.</w:t>
      </w:r>
    </w:p>
    <w:p w14:paraId="07CB9AA7" w14:textId="3AFF3151" w:rsidR="000D11B9" w:rsidRPr="009A51B8" w:rsidRDefault="00CD5928" w:rsidP="00CD5928">
      <w:pPr>
        <w:pStyle w:val="Descripcin"/>
        <w:rPr>
          <w:rFonts w:cs="Times New Roman"/>
        </w:rPr>
      </w:pPr>
      <w:r w:rsidRPr="009A51B8">
        <w:rPr>
          <w:rFonts w:cs="Times New Roman"/>
          <w:b/>
          <w:bCs w:val="0"/>
          <w:i w:val="0"/>
          <w:iCs/>
        </w:rPr>
        <w:t xml:space="preserve">Figura </w:t>
      </w:r>
      <w:r w:rsidRPr="009A51B8">
        <w:rPr>
          <w:rFonts w:cs="Times New Roman"/>
          <w:b/>
          <w:bCs w:val="0"/>
          <w:i w:val="0"/>
          <w:iCs/>
        </w:rPr>
        <w:fldChar w:fldCharType="begin"/>
      </w:r>
      <w:r w:rsidRPr="009A51B8">
        <w:rPr>
          <w:rFonts w:cs="Times New Roman"/>
          <w:b/>
          <w:bCs w:val="0"/>
          <w:i w:val="0"/>
          <w:iCs/>
        </w:rPr>
        <w:instrText xml:space="preserve"> SEQ Figura \* ARABIC </w:instrText>
      </w:r>
      <w:r w:rsidRPr="009A51B8">
        <w:rPr>
          <w:rFonts w:cs="Times New Roman"/>
          <w:b/>
          <w:bCs w:val="0"/>
          <w:i w:val="0"/>
          <w:iCs/>
        </w:rPr>
        <w:fldChar w:fldCharType="separate"/>
      </w:r>
      <w:r w:rsidRPr="009A51B8">
        <w:rPr>
          <w:rFonts w:cs="Times New Roman"/>
          <w:b/>
          <w:bCs w:val="0"/>
          <w:i w:val="0"/>
          <w:iCs/>
          <w:noProof/>
        </w:rPr>
        <w:t>1</w:t>
      </w:r>
      <w:r w:rsidRPr="009A51B8">
        <w:rPr>
          <w:rFonts w:cs="Times New Roman"/>
          <w:b/>
          <w:bCs w:val="0"/>
          <w:i w:val="0"/>
          <w:iCs/>
        </w:rPr>
        <w:fldChar w:fldCharType="end"/>
      </w:r>
      <w:r w:rsidRPr="009A51B8">
        <w:rPr>
          <w:rFonts w:cs="Times New Roman"/>
          <w:b/>
          <w:bCs w:val="0"/>
          <w:i w:val="0"/>
          <w:iCs/>
        </w:rPr>
        <w:t>.</w:t>
      </w:r>
      <w:r w:rsidRPr="009A51B8">
        <w:rPr>
          <w:rFonts w:cs="Times New Roman"/>
          <w:b/>
          <w:bCs w:val="0"/>
          <w:i w:val="0"/>
          <w:iCs/>
        </w:rPr>
        <w:br/>
      </w:r>
      <w:r w:rsidRPr="009A51B8">
        <w:rPr>
          <w:rFonts w:cs="Times New Roman"/>
        </w:rPr>
        <w:t>Evolución de la posición de Colombia y países seleccionados en el ranking OCDE,</w:t>
      </w:r>
    </w:p>
    <w:p w14:paraId="28F8B6A3" w14:textId="77777777" w:rsidR="000D11B9" w:rsidRPr="009A51B8" w:rsidRDefault="00000000" w:rsidP="00CD5928">
      <w:pPr>
        <w:pStyle w:val="Sinespaciado"/>
        <w:rPr>
          <w:rFonts w:ascii="Times New Roman" w:hAnsi="Times New Roman" w:cs="Times New Roman"/>
          <w:lang w:val="es-ES"/>
        </w:rPr>
      </w:pPr>
      <w:r w:rsidRPr="009A51B8">
        <w:rPr>
          <w:rFonts w:ascii="Times New Roman" w:hAnsi="Times New Roman" w:cs="Times New Roman"/>
          <w:noProof/>
          <w:lang w:val="es-ES"/>
        </w:rPr>
        <w:drawing>
          <wp:inline distT="0" distB="0" distL="0" distR="0" wp14:anchorId="53F4DFDB" wp14:editId="53CA426D">
            <wp:extent cx="5415787" cy="1600102"/>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plot(3).png"/>
                    <pic:cNvPicPr/>
                  </pic:nvPicPr>
                  <pic:blipFill rotWithShape="1">
                    <a:blip r:embed="rId8"/>
                    <a:srcRect t="17273"/>
                    <a:stretch/>
                  </pic:blipFill>
                  <pic:spPr bwMode="auto">
                    <a:xfrm>
                      <a:off x="0" y="0"/>
                      <a:ext cx="5425338" cy="1602924"/>
                    </a:xfrm>
                    <a:prstGeom prst="rect">
                      <a:avLst/>
                    </a:prstGeom>
                    <a:ln>
                      <a:noFill/>
                    </a:ln>
                    <a:extLst>
                      <a:ext uri="{53640926-AAD7-44D8-BBD7-CCE9431645EC}">
                        <a14:shadowObscured xmlns:a14="http://schemas.microsoft.com/office/drawing/2010/main"/>
                      </a:ext>
                    </a:extLst>
                  </pic:spPr>
                </pic:pic>
              </a:graphicData>
            </a:graphic>
          </wp:inline>
        </w:drawing>
      </w:r>
    </w:p>
    <w:p w14:paraId="68834701" w14:textId="77777777" w:rsidR="000D11B9" w:rsidRPr="009A51B8" w:rsidRDefault="00000000" w:rsidP="00CD5928">
      <w:pPr>
        <w:pStyle w:val="Notaalpie"/>
        <w:rPr>
          <w:rFonts w:cs="Times New Roman"/>
          <w:lang w:val="es-ES"/>
        </w:rPr>
      </w:pPr>
      <w:r w:rsidRPr="009A51B8">
        <w:rPr>
          <w:rFonts w:cs="Times New Roman"/>
          <w:i/>
          <w:lang w:val="es-ES"/>
        </w:rPr>
        <w:t xml:space="preserve">Nota. </w:t>
      </w:r>
      <w:r w:rsidRPr="009A51B8">
        <w:rPr>
          <w:rFonts w:cs="Times New Roman"/>
          <w:lang w:val="es-ES"/>
        </w:rPr>
        <w:t>La línea verde corresponde a Colombia y las líneas azules representan a Chile, México y Costa Rica. El eje vertical está invertido, por lo que el valor 1 identifica la mejor posición. La línea punteada marca el tránsito entre la serie histórica y la proyección desde 2026; la figura muestra el escenario tendencial seleccionado en el visualizador. Elaboración propia con base en la matriz comparativa del Índice para una Vida Mejor de la OCDE.</w:t>
      </w:r>
    </w:p>
    <w:p w14:paraId="55C05CB6" w14:textId="6755260F" w:rsidR="000D11B9" w:rsidRPr="009A51B8" w:rsidRDefault="00000000" w:rsidP="009A51B8">
      <w:pPr>
        <w:pStyle w:val="Ttulo1"/>
        <w:spacing w:before="0"/>
      </w:pPr>
      <w:r w:rsidRPr="009A51B8">
        <w:br w:type="page"/>
      </w:r>
      <w:r w:rsidRPr="009A51B8">
        <w:lastRenderedPageBreak/>
        <w:t>Felicidad Nacional Bruta: una mirada multidimensional al progreso</w:t>
      </w:r>
    </w:p>
    <w:p w14:paraId="4FB18390" w14:textId="6ACD23D3" w:rsidR="000D11B9" w:rsidRPr="009A51B8" w:rsidRDefault="00000000" w:rsidP="00CD5928">
      <w:pPr>
        <w:pStyle w:val="Prrafodelista"/>
        <w:rPr>
          <w:rFonts w:cs="Times New Roman"/>
          <w:lang w:val="es-ES"/>
        </w:rPr>
      </w:pPr>
      <w:r w:rsidRPr="009A51B8">
        <w:rPr>
          <w:rFonts w:cs="Times New Roman"/>
          <w:lang w:val="es-ES"/>
        </w:rPr>
        <w:t>La Felicidad Nacional Bruta (</w:t>
      </w:r>
      <w:proofErr w:type="spellStart"/>
      <w:r w:rsidRPr="009A51B8">
        <w:rPr>
          <w:rFonts w:cs="Times New Roman"/>
          <w:lang w:val="es-ES"/>
        </w:rPr>
        <w:t>FNB</w:t>
      </w:r>
      <w:proofErr w:type="spellEnd"/>
      <w:r w:rsidRPr="009A51B8">
        <w:rPr>
          <w:rFonts w:cs="Times New Roman"/>
          <w:lang w:val="es-ES"/>
        </w:rPr>
        <w:t xml:space="preserve">), desarrollada en Bután, propone una medición del progreso que amplía la lectura económica tradicional. Su enfoque considera que el bienestar depende de la interacción entre condiciones materiales y no materiales, por lo que incorpora nueve dominios: nivel de vida, educación, salud, ambiente, vitalidad comunitaria, uso del tiempo, bienestar psicológico, buen gobierno y resiliencia cultural. En su formulación institucional, el índice funciona como una herramienta de política pública orientada a identificar fortalezas y rezagos en las condiciones que sostienen la felicidad </w:t>
      </w:r>
      <w:r w:rsidR="00CD5928" w:rsidRPr="009A51B8">
        <w:rPr>
          <w:rFonts w:cs="Times New Roman"/>
          <w:lang w:val="es-ES"/>
        </w:rPr>
        <w:t>colectiva.</w:t>
      </w:r>
    </w:p>
    <w:p w14:paraId="728BFD7B" w14:textId="77777777" w:rsidR="000D11B9" w:rsidRPr="009A51B8" w:rsidRDefault="00000000" w:rsidP="00CD5928">
      <w:pPr>
        <w:pStyle w:val="Prrafodelista"/>
        <w:rPr>
          <w:rFonts w:cs="Times New Roman"/>
          <w:lang w:val="es-ES"/>
        </w:rPr>
      </w:pPr>
      <w:r w:rsidRPr="009A51B8">
        <w:rPr>
          <w:rFonts w:cs="Times New Roman"/>
          <w:b/>
          <w:lang w:val="es-ES"/>
        </w:rPr>
        <w:t xml:space="preserve">Uso del visualizador. </w:t>
      </w:r>
      <w:r w:rsidRPr="009A51B8">
        <w:rPr>
          <w:rFonts w:cs="Times New Roman"/>
          <w:lang w:val="es-ES"/>
        </w:rPr>
        <w:t xml:space="preserve">El notebook se utiliza en Google </w:t>
      </w:r>
      <w:proofErr w:type="spellStart"/>
      <w:r w:rsidRPr="009A51B8">
        <w:rPr>
          <w:rFonts w:cs="Times New Roman"/>
          <w:lang w:val="es-ES"/>
        </w:rPr>
        <w:t>Colab</w:t>
      </w:r>
      <w:proofErr w:type="spellEnd"/>
      <w:r w:rsidRPr="009A51B8">
        <w:rPr>
          <w:rFonts w:cs="Times New Roman"/>
          <w:lang w:val="es-ES"/>
        </w:rPr>
        <w:t xml:space="preserve"> y requiere ejecutar primero la celda de carga para seleccionar la plantilla Excel del índice adaptado. Una vez validada la continuidad anual, la ausencia de duplicados y el rango de los datos, el panel permite escoger el índice compuesto o cualquiera de sus componentes, activar los escenarios pesimista, tendencial y optimista, y reproducir trayectorias plausibles mediante los controles animados. Los comparadores facilitan observar varios indicadores al mismo tiempo y consultar sus hitos hasta 2050. El escenario tendencial corresponde a la trayectoria incluida en la base, mientras los escenarios alternativos se construyen con la variabilidad histórica de los componentes y no representan proyecciones oficiales de Bután ni de entidades públicas colombianas.</w:t>
      </w:r>
    </w:p>
    <w:p w14:paraId="2A58EB64" w14:textId="0C65E381" w:rsidR="000D11B9" w:rsidRPr="009A51B8" w:rsidRDefault="00CD5928" w:rsidP="00CD5928">
      <w:pPr>
        <w:pStyle w:val="Descripcin"/>
        <w:rPr>
          <w:rFonts w:cs="Times New Roman"/>
        </w:rPr>
      </w:pPr>
      <w:r w:rsidRPr="009A51B8">
        <w:rPr>
          <w:rFonts w:cs="Times New Roman"/>
          <w:b/>
          <w:bCs w:val="0"/>
          <w:i w:val="0"/>
          <w:iCs/>
        </w:rPr>
        <w:t xml:space="preserve">Figura </w:t>
      </w:r>
      <w:r w:rsidRPr="009A51B8">
        <w:rPr>
          <w:rFonts w:cs="Times New Roman"/>
          <w:b/>
          <w:bCs w:val="0"/>
          <w:i w:val="0"/>
          <w:iCs/>
        </w:rPr>
        <w:fldChar w:fldCharType="begin"/>
      </w:r>
      <w:r w:rsidRPr="009A51B8">
        <w:rPr>
          <w:rFonts w:cs="Times New Roman"/>
          <w:b/>
          <w:bCs w:val="0"/>
          <w:i w:val="0"/>
          <w:iCs/>
        </w:rPr>
        <w:instrText xml:space="preserve"> SEQ Figura \* ARABIC </w:instrText>
      </w:r>
      <w:r w:rsidRPr="009A51B8">
        <w:rPr>
          <w:rFonts w:cs="Times New Roman"/>
          <w:b/>
          <w:bCs w:val="0"/>
          <w:i w:val="0"/>
          <w:iCs/>
        </w:rPr>
        <w:fldChar w:fldCharType="separate"/>
      </w:r>
      <w:r w:rsidRPr="009A51B8">
        <w:rPr>
          <w:rFonts w:cs="Times New Roman"/>
          <w:b/>
          <w:bCs w:val="0"/>
          <w:i w:val="0"/>
          <w:iCs/>
          <w:noProof/>
        </w:rPr>
        <w:t>2</w:t>
      </w:r>
      <w:r w:rsidRPr="009A51B8">
        <w:rPr>
          <w:rFonts w:cs="Times New Roman"/>
          <w:b/>
          <w:bCs w:val="0"/>
          <w:i w:val="0"/>
          <w:iCs/>
        </w:rPr>
        <w:fldChar w:fldCharType="end"/>
      </w:r>
      <w:r w:rsidRPr="009A51B8">
        <w:rPr>
          <w:rFonts w:cs="Times New Roman"/>
          <w:b/>
          <w:bCs w:val="0"/>
          <w:i w:val="0"/>
          <w:iCs/>
        </w:rPr>
        <w:t>.</w:t>
      </w:r>
      <w:r w:rsidRPr="009A51B8">
        <w:rPr>
          <w:rFonts w:cs="Times New Roman"/>
        </w:rPr>
        <w:br/>
        <w:t xml:space="preserve">Trayectorias del índice </w:t>
      </w:r>
      <w:proofErr w:type="spellStart"/>
      <w:r w:rsidRPr="009A51B8">
        <w:rPr>
          <w:rFonts w:cs="Times New Roman"/>
        </w:rPr>
        <w:t>FNB</w:t>
      </w:r>
      <w:proofErr w:type="spellEnd"/>
      <w:r w:rsidRPr="009A51B8">
        <w:rPr>
          <w:rFonts w:cs="Times New Roman"/>
        </w:rPr>
        <w:t xml:space="preserve"> adaptado y sus componentes</w:t>
      </w:r>
    </w:p>
    <w:p w14:paraId="304B2D60" w14:textId="77777777" w:rsidR="000D11B9" w:rsidRPr="009A51B8" w:rsidRDefault="00000000" w:rsidP="00CD5928">
      <w:pPr>
        <w:pStyle w:val="Sinespaciado"/>
        <w:rPr>
          <w:rFonts w:ascii="Times New Roman" w:hAnsi="Times New Roman" w:cs="Times New Roman"/>
          <w:lang w:val="es-ES"/>
        </w:rPr>
      </w:pPr>
      <w:r w:rsidRPr="009A51B8">
        <w:rPr>
          <w:rFonts w:ascii="Times New Roman" w:hAnsi="Times New Roman" w:cs="Times New Roman"/>
          <w:noProof/>
          <w:lang w:val="es-ES"/>
        </w:rPr>
        <w:drawing>
          <wp:inline distT="0" distB="0" distL="0" distR="0" wp14:anchorId="5B06222B" wp14:editId="59B8C7D7">
            <wp:extent cx="5896610" cy="2491016"/>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9"/>
                    <a:srcRect t="8974" b="17684"/>
                    <a:stretch/>
                  </pic:blipFill>
                  <pic:spPr bwMode="auto">
                    <a:xfrm>
                      <a:off x="0" y="0"/>
                      <a:ext cx="5897880" cy="2491553"/>
                    </a:xfrm>
                    <a:prstGeom prst="rect">
                      <a:avLst/>
                    </a:prstGeom>
                    <a:ln>
                      <a:noFill/>
                    </a:ln>
                    <a:extLst>
                      <a:ext uri="{53640926-AAD7-44D8-BBD7-CCE9431645EC}">
                        <a14:shadowObscured xmlns:a14="http://schemas.microsoft.com/office/drawing/2010/main"/>
                      </a:ext>
                    </a:extLst>
                  </pic:spPr>
                </pic:pic>
              </a:graphicData>
            </a:graphic>
          </wp:inline>
        </w:drawing>
      </w:r>
    </w:p>
    <w:p w14:paraId="4F1891BE" w14:textId="0080220E" w:rsidR="000D11B9" w:rsidRPr="009A51B8" w:rsidRDefault="00000000" w:rsidP="00CD5928">
      <w:pPr>
        <w:pStyle w:val="Notaalpie"/>
        <w:rPr>
          <w:rFonts w:cs="Times New Roman"/>
          <w:lang w:val="es-ES"/>
        </w:rPr>
      </w:pPr>
      <w:r w:rsidRPr="009A51B8">
        <w:rPr>
          <w:rFonts w:cs="Times New Roman"/>
          <w:i/>
          <w:lang w:val="es-ES"/>
        </w:rPr>
        <w:t xml:space="preserve">Nota. </w:t>
      </w:r>
      <w:r w:rsidRPr="009A51B8">
        <w:rPr>
          <w:rFonts w:cs="Times New Roman"/>
          <w:lang w:val="es-ES"/>
        </w:rPr>
        <w:t xml:space="preserve">La figura combina valores históricos de 2015–2025 con trayectorias tendenciales para 2026–2050. Las líneas punteadas identifican el escenario central y las líneas continuas muestran la trayectoria activa del explorador. El índice </w:t>
      </w:r>
      <w:proofErr w:type="spellStart"/>
      <w:r w:rsidRPr="009A51B8">
        <w:rPr>
          <w:rFonts w:cs="Times New Roman"/>
          <w:lang w:val="es-ES"/>
        </w:rPr>
        <w:t>FNB</w:t>
      </w:r>
      <w:proofErr w:type="spellEnd"/>
      <w:r w:rsidRPr="009A51B8">
        <w:rPr>
          <w:rFonts w:cs="Times New Roman"/>
          <w:lang w:val="es-ES"/>
        </w:rPr>
        <w:t xml:space="preserve"> adaptado se calcula en la base como promedio de cinco componentes relacionados con salud, educación, resiliencia ecológica y nivel de vida. Esta adaptación analítica no corresponde a una medición oficial del Gobierno de Bután. </w:t>
      </w:r>
    </w:p>
    <w:p w14:paraId="7C9C0601" w14:textId="77777777" w:rsidR="000D11B9" w:rsidRPr="009A51B8" w:rsidRDefault="00000000">
      <w:pPr>
        <w:rPr>
          <w:rFonts w:cs="Times New Roman"/>
          <w:lang w:val="es-ES"/>
        </w:rPr>
      </w:pPr>
      <w:r w:rsidRPr="009A51B8">
        <w:rPr>
          <w:rFonts w:cs="Times New Roman"/>
          <w:lang w:val="es-ES"/>
        </w:rPr>
        <w:br w:type="page"/>
      </w:r>
    </w:p>
    <w:p w14:paraId="089F485B" w14:textId="77777777" w:rsidR="000D11B9" w:rsidRPr="009A51B8" w:rsidRDefault="00000000" w:rsidP="009A51B8">
      <w:pPr>
        <w:pStyle w:val="Ttulo1"/>
      </w:pPr>
      <w:r w:rsidRPr="009A51B8">
        <w:lastRenderedPageBreak/>
        <w:t>Capital humano: capacidades acumuladas a lo largo del ciclo de vida</w:t>
      </w:r>
    </w:p>
    <w:p w14:paraId="61A7856D" w14:textId="058C74A2" w:rsidR="000D11B9" w:rsidRPr="009A51B8" w:rsidRDefault="00000000" w:rsidP="00CD5928">
      <w:pPr>
        <w:pStyle w:val="Prrafodelista"/>
        <w:rPr>
          <w:rFonts w:cs="Times New Roman"/>
          <w:lang w:val="es-ES"/>
        </w:rPr>
      </w:pPr>
      <w:r w:rsidRPr="009A51B8">
        <w:rPr>
          <w:rFonts w:cs="Times New Roman"/>
          <w:lang w:val="es-ES"/>
        </w:rPr>
        <w:t xml:space="preserve">El Human Capital </w:t>
      </w:r>
      <w:proofErr w:type="spellStart"/>
      <w:r w:rsidRPr="009A51B8">
        <w:rPr>
          <w:rFonts w:cs="Times New Roman"/>
          <w:lang w:val="es-ES"/>
        </w:rPr>
        <w:t>Index</w:t>
      </w:r>
      <w:proofErr w:type="spellEnd"/>
      <w:r w:rsidRPr="009A51B8">
        <w:rPr>
          <w:rFonts w:cs="Times New Roman"/>
          <w:lang w:val="es-ES"/>
        </w:rPr>
        <w:t xml:space="preserve"> (</w:t>
      </w:r>
      <w:proofErr w:type="spellStart"/>
      <w:r w:rsidRPr="009A51B8">
        <w:rPr>
          <w:rFonts w:cs="Times New Roman"/>
          <w:lang w:val="es-ES"/>
        </w:rPr>
        <w:t>HCI</w:t>
      </w:r>
      <w:proofErr w:type="spellEnd"/>
      <w:r w:rsidRPr="009A51B8">
        <w:rPr>
          <w:rFonts w:cs="Times New Roman"/>
          <w:lang w:val="es-ES"/>
        </w:rPr>
        <w:t xml:space="preserve">) del Banco Mundial sintetiza la contribución esperada de la salud y la educación a la capacidad productiva futura de una persona. Su escala de 0 a 1 aproxima cuánto capital humano podría alcanzar un niño nacido en las condiciones actuales frente a un referente de educación completa y salud plena. El tablero integra, además, indicadores identificados en la base como Human Capital </w:t>
      </w:r>
      <w:proofErr w:type="spellStart"/>
      <w:r w:rsidRPr="009A51B8">
        <w:rPr>
          <w:rFonts w:cs="Times New Roman"/>
          <w:lang w:val="es-ES"/>
        </w:rPr>
        <w:t>Index</w:t>
      </w:r>
      <w:proofErr w:type="spellEnd"/>
      <w:r w:rsidRPr="009A51B8">
        <w:rPr>
          <w:rFonts w:cs="Times New Roman"/>
          <w:lang w:val="es-ES"/>
        </w:rPr>
        <w:t xml:space="preserve"> Plus (</w:t>
      </w:r>
      <w:proofErr w:type="spellStart"/>
      <w:r w:rsidRPr="009A51B8">
        <w:rPr>
          <w:rFonts w:cs="Times New Roman"/>
          <w:lang w:val="es-ES"/>
        </w:rPr>
        <w:t>HCI</w:t>
      </w:r>
      <w:proofErr w:type="spellEnd"/>
      <w:r w:rsidRPr="009A51B8">
        <w:rPr>
          <w:rFonts w:cs="Times New Roman"/>
          <w:lang w:val="es-ES"/>
        </w:rPr>
        <w:t xml:space="preserve">+), mediante los cuales se observan el puntaje ampliado, los componentes de educación, empleo y aprendizaje continuo, salud y nutrición, las diferencias entre mujeres y hombres y las brechas frente a valores de referencia. De esta manera, la medición reúne resultados de formación, supervivencia, salud y participación a lo largo del ciclo de vida </w:t>
      </w:r>
    </w:p>
    <w:p w14:paraId="61471961" w14:textId="77777777" w:rsidR="000D11B9" w:rsidRPr="009A51B8" w:rsidRDefault="00000000" w:rsidP="00CD5928">
      <w:pPr>
        <w:pStyle w:val="Prrafodelista"/>
        <w:rPr>
          <w:rFonts w:cs="Times New Roman"/>
          <w:lang w:val="es-ES"/>
        </w:rPr>
      </w:pPr>
      <w:r w:rsidRPr="009A51B8">
        <w:rPr>
          <w:rFonts w:cs="Times New Roman"/>
          <w:b/>
          <w:lang w:val="es-ES"/>
        </w:rPr>
        <w:t xml:space="preserve">Uso del visualizador. </w:t>
      </w:r>
      <w:r w:rsidRPr="009A51B8">
        <w:rPr>
          <w:rFonts w:cs="Times New Roman"/>
          <w:lang w:val="es-ES"/>
        </w:rPr>
        <w:t xml:space="preserve">El cuaderno se abre en Google </w:t>
      </w:r>
      <w:proofErr w:type="spellStart"/>
      <w:r w:rsidRPr="009A51B8">
        <w:rPr>
          <w:rFonts w:cs="Times New Roman"/>
          <w:lang w:val="es-ES"/>
        </w:rPr>
        <w:t>Colab</w:t>
      </w:r>
      <w:proofErr w:type="spellEnd"/>
      <w:r w:rsidRPr="009A51B8">
        <w:rPr>
          <w:rFonts w:cs="Times New Roman"/>
          <w:lang w:val="es-ES"/>
        </w:rPr>
        <w:t xml:space="preserve"> y se ejecuta por celdas; la base de datos se encuentra incorporada en formato comprimido, por lo que no requiere una carga externa adicional. El selector desplegable permite cambiar entre el índice equivalente, el índice tradicional, la brecha de género, la brecha frente al máximo y los demás componentes de capital humano. La leyenda permite activar o desactivar escenarios, mientras el cursor muestra año, valor, unidad y tipo de dato. Los controles de </w:t>
      </w:r>
      <w:proofErr w:type="spellStart"/>
      <w:r w:rsidRPr="009A51B8">
        <w:rPr>
          <w:rFonts w:cs="Times New Roman"/>
          <w:lang w:val="es-ES"/>
        </w:rPr>
        <w:t>Plotly</w:t>
      </w:r>
      <w:proofErr w:type="spellEnd"/>
      <w:r w:rsidRPr="009A51B8">
        <w:rPr>
          <w:rFonts w:cs="Times New Roman"/>
          <w:lang w:val="es-ES"/>
        </w:rPr>
        <w:t xml:space="preserve"> habilitan </w:t>
      </w:r>
      <w:proofErr w:type="gramStart"/>
      <w:r w:rsidRPr="009A51B8">
        <w:rPr>
          <w:rFonts w:cs="Times New Roman"/>
          <w:lang w:val="es-ES"/>
        </w:rPr>
        <w:t>zoom</w:t>
      </w:r>
      <w:proofErr w:type="gramEnd"/>
      <w:r w:rsidRPr="009A51B8">
        <w:rPr>
          <w:rFonts w:cs="Times New Roman"/>
          <w:lang w:val="es-ES"/>
        </w:rPr>
        <w:t>, desplazamiento y descarga en PNG. El cuaderno incluye también módulos para seguir la evolución de Colombia y realizar comparaciones internacionales entre los países disponibles.</w:t>
      </w:r>
    </w:p>
    <w:p w14:paraId="0D6C015E" w14:textId="7DBDAAA3" w:rsidR="000D11B9" w:rsidRPr="009A51B8" w:rsidRDefault="00CD5928" w:rsidP="00CD5928">
      <w:pPr>
        <w:pStyle w:val="Descripcin"/>
        <w:rPr>
          <w:rFonts w:cs="Times New Roman"/>
        </w:rPr>
      </w:pPr>
      <w:r w:rsidRPr="009A51B8">
        <w:rPr>
          <w:rFonts w:cs="Times New Roman"/>
          <w:b/>
          <w:bCs w:val="0"/>
          <w:i w:val="0"/>
          <w:iCs/>
        </w:rPr>
        <w:t xml:space="preserve">Figura </w:t>
      </w:r>
      <w:r w:rsidRPr="009A51B8">
        <w:rPr>
          <w:rFonts w:cs="Times New Roman"/>
          <w:b/>
          <w:bCs w:val="0"/>
          <w:i w:val="0"/>
          <w:iCs/>
        </w:rPr>
        <w:fldChar w:fldCharType="begin"/>
      </w:r>
      <w:r w:rsidRPr="009A51B8">
        <w:rPr>
          <w:rFonts w:cs="Times New Roman"/>
          <w:b/>
          <w:bCs w:val="0"/>
          <w:i w:val="0"/>
          <w:iCs/>
        </w:rPr>
        <w:instrText xml:space="preserve"> SEQ Figura \* ARABIC </w:instrText>
      </w:r>
      <w:r w:rsidRPr="009A51B8">
        <w:rPr>
          <w:rFonts w:cs="Times New Roman"/>
          <w:b/>
          <w:bCs w:val="0"/>
          <w:i w:val="0"/>
          <w:iCs/>
        </w:rPr>
        <w:fldChar w:fldCharType="separate"/>
      </w:r>
      <w:r w:rsidRPr="009A51B8">
        <w:rPr>
          <w:rFonts w:cs="Times New Roman"/>
          <w:b/>
          <w:bCs w:val="0"/>
          <w:i w:val="0"/>
          <w:iCs/>
          <w:noProof/>
        </w:rPr>
        <w:t>3</w:t>
      </w:r>
      <w:r w:rsidRPr="009A51B8">
        <w:rPr>
          <w:rFonts w:cs="Times New Roman"/>
          <w:b/>
          <w:bCs w:val="0"/>
          <w:i w:val="0"/>
          <w:iCs/>
        </w:rPr>
        <w:fldChar w:fldCharType="end"/>
      </w:r>
      <w:r w:rsidRPr="009A51B8">
        <w:rPr>
          <w:rFonts w:cs="Times New Roman"/>
          <w:b/>
          <w:bCs w:val="0"/>
          <w:i w:val="0"/>
          <w:iCs/>
        </w:rPr>
        <w:t>.</w:t>
      </w:r>
      <w:r w:rsidRPr="009A51B8">
        <w:rPr>
          <w:rFonts w:cs="Times New Roman"/>
        </w:rPr>
        <w:br/>
        <w:t>Escenarios prospectivos de la brecha de género en capital humano</w:t>
      </w:r>
    </w:p>
    <w:p w14:paraId="037D2B20" w14:textId="77777777" w:rsidR="000D11B9" w:rsidRPr="009A51B8" w:rsidRDefault="00000000">
      <w:pPr>
        <w:keepNext/>
        <w:spacing w:after="0"/>
        <w:jc w:val="center"/>
        <w:rPr>
          <w:rFonts w:cs="Times New Roman"/>
          <w:lang w:val="es-ES"/>
        </w:rPr>
      </w:pPr>
      <w:r w:rsidRPr="009A51B8">
        <w:rPr>
          <w:rFonts w:cs="Times New Roman"/>
          <w:noProof/>
          <w:lang w:val="es-ES"/>
        </w:rPr>
        <w:drawing>
          <wp:inline distT="0" distB="0" distL="0" distR="0" wp14:anchorId="2D04DC55" wp14:editId="648E66DA">
            <wp:extent cx="5896615" cy="2036348"/>
            <wp:effectExtent l="0" t="0" r="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escenarios.png"/>
                    <pic:cNvPicPr/>
                  </pic:nvPicPr>
                  <pic:blipFill rotWithShape="1">
                    <a:blip r:embed="rId10"/>
                    <a:srcRect t="18046"/>
                    <a:stretch/>
                  </pic:blipFill>
                  <pic:spPr bwMode="auto">
                    <a:xfrm>
                      <a:off x="0" y="0"/>
                      <a:ext cx="5897880" cy="2036785"/>
                    </a:xfrm>
                    <a:prstGeom prst="rect">
                      <a:avLst/>
                    </a:prstGeom>
                    <a:ln>
                      <a:noFill/>
                    </a:ln>
                    <a:extLst>
                      <a:ext uri="{53640926-AAD7-44D8-BBD7-CCE9431645EC}">
                        <a14:shadowObscured xmlns:a14="http://schemas.microsoft.com/office/drawing/2010/main"/>
                      </a:ext>
                    </a:extLst>
                  </pic:spPr>
                </pic:pic>
              </a:graphicData>
            </a:graphic>
          </wp:inline>
        </w:drawing>
      </w:r>
    </w:p>
    <w:p w14:paraId="73EC1209" w14:textId="37490C80" w:rsidR="000D11B9" w:rsidRPr="009A51B8" w:rsidRDefault="00000000" w:rsidP="00CD5928">
      <w:pPr>
        <w:pStyle w:val="Notaalpie"/>
        <w:rPr>
          <w:rFonts w:cs="Times New Roman"/>
          <w:lang w:val="es-ES"/>
        </w:rPr>
      </w:pPr>
      <w:r w:rsidRPr="009A51B8">
        <w:rPr>
          <w:rFonts w:cs="Times New Roman"/>
          <w:i/>
          <w:lang w:val="es-ES"/>
        </w:rPr>
        <w:t xml:space="preserve">Nota. </w:t>
      </w:r>
      <w:r w:rsidRPr="009A51B8">
        <w:rPr>
          <w:rFonts w:cs="Times New Roman"/>
          <w:lang w:val="es-ES"/>
        </w:rPr>
        <w:t xml:space="preserve">Las líneas verde, azul y roja representan, respectivamente, los escenarios optimista, tendencial y pesimista. El área sombreada muestra la distancia entre las trayectorias extremas y no constituye un intervalo de confianza. El indicador se expresa en una escala de 0 a 1 y corresponde a la opción activa “Brecha de género” del selector. </w:t>
      </w:r>
    </w:p>
    <w:p w14:paraId="427CD1F0" w14:textId="77777777" w:rsidR="000D11B9" w:rsidRPr="009A51B8" w:rsidRDefault="00000000">
      <w:pPr>
        <w:rPr>
          <w:rFonts w:cs="Times New Roman"/>
          <w:lang w:val="es-ES"/>
        </w:rPr>
      </w:pPr>
      <w:r w:rsidRPr="009A51B8">
        <w:rPr>
          <w:rFonts w:cs="Times New Roman"/>
          <w:lang w:val="es-ES"/>
        </w:rPr>
        <w:br w:type="page"/>
      </w:r>
    </w:p>
    <w:p w14:paraId="498EC8F7" w14:textId="77777777" w:rsidR="000D11B9" w:rsidRPr="009A51B8" w:rsidRDefault="00000000" w:rsidP="009A51B8">
      <w:pPr>
        <w:pStyle w:val="Ttulo1"/>
        <w:spacing w:before="0"/>
      </w:pPr>
      <w:r w:rsidRPr="009A51B8">
        <w:lastRenderedPageBreak/>
        <w:t>Desempeño ambiental: la sostenibilidad convertida en señal de país</w:t>
      </w:r>
    </w:p>
    <w:p w14:paraId="05C09156" w14:textId="77777777" w:rsidR="000D11B9" w:rsidRPr="009A51B8" w:rsidRDefault="00000000" w:rsidP="00CD5928">
      <w:pPr>
        <w:pStyle w:val="Prrafodelista"/>
        <w:rPr>
          <w:rFonts w:cs="Times New Roman"/>
          <w:lang w:val="es-ES"/>
        </w:rPr>
      </w:pPr>
      <w:r w:rsidRPr="009A51B8">
        <w:rPr>
          <w:rFonts w:cs="Times New Roman"/>
          <w:lang w:val="es-ES"/>
        </w:rPr>
        <w:t xml:space="preserve">El </w:t>
      </w:r>
      <w:proofErr w:type="spellStart"/>
      <w:r w:rsidRPr="009A51B8">
        <w:rPr>
          <w:rFonts w:cs="Times New Roman"/>
          <w:lang w:val="es-ES"/>
        </w:rPr>
        <w:t>Environmental</w:t>
      </w:r>
      <w:proofErr w:type="spellEnd"/>
      <w:r w:rsidRPr="009A51B8">
        <w:rPr>
          <w:rFonts w:cs="Times New Roman"/>
          <w:lang w:val="es-ES"/>
        </w:rPr>
        <w:t xml:space="preserve"> Performance </w:t>
      </w:r>
      <w:proofErr w:type="spellStart"/>
      <w:r w:rsidRPr="009A51B8">
        <w:rPr>
          <w:rFonts w:cs="Times New Roman"/>
          <w:lang w:val="es-ES"/>
        </w:rPr>
        <w:t>Index</w:t>
      </w:r>
      <w:proofErr w:type="spellEnd"/>
      <w:r w:rsidRPr="009A51B8">
        <w:rPr>
          <w:rFonts w:cs="Times New Roman"/>
          <w:lang w:val="es-ES"/>
        </w:rPr>
        <w:t xml:space="preserve"> (EPI) es un indicador compuesto que resume el desempeño ambiental de los países mediante una escala de 0 a 100. Su estructura reúne información sobre salud ambiental, vitalidad de los ecosistemas y respuesta frente al cambio climático, de modo que el puntaje expresa la cercanía relativa de cada país a objetivos de política ambiental previamente definidos. La edición de 2024 integra 58 indicadores agrupados en 11 categorías temáticas, lo que permite pasar de una lectura general del desempeño a una revisión específica de asuntos como calidad del aire, biodiversidad, agua, residuos, emisiones y protección de ecosistemas (Yale Center </w:t>
      </w:r>
      <w:proofErr w:type="spellStart"/>
      <w:r w:rsidRPr="009A51B8">
        <w:rPr>
          <w:rFonts w:cs="Times New Roman"/>
          <w:lang w:val="es-ES"/>
        </w:rPr>
        <w:t>for</w:t>
      </w:r>
      <w:proofErr w:type="spellEnd"/>
      <w:r w:rsidRPr="009A51B8">
        <w:rPr>
          <w:rFonts w:cs="Times New Roman"/>
          <w:lang w:val="es-ES"/>
        </w:rPr>
        <w:t xml:space="preserve"> </w:t>
      </w:r>
      <w:proofErr w:type="spellStart"/>
      <w:r w:rsidRPr="009A51B8">
        <w:rPr>
          <w:rFonts w:cs="Times New Roman"/>
          <w:lang w:val="es-ES"/>
        </w:rPr>
        <w:t>Environmental</w:t>
      </w:r>
      <w:proofErr w:type="spellEnd"/>
      <w:r w:rsidRPr="009A51B8">
        <w:rPr>
          <w:rFonts w:cs="Times New Roman"/>
          <w:lang w:val="es-ES"/>
        </w:rPr>
        <w:t xml:space="preserve"> Law &amp; Policy, 2024).</w:t>
      </w:r>
    </w:p>
    <w:p w14:paraId="1FB72758" w14:textId="77777777" w:rsidR="000D11B9" w:rsidRPr="009A51B8" w:rsidRDefault="00000000" w:rsidP="00CD5928">
      <w:pPr>
        <w:pStyle w:val="Prrafodelista"/>
        <w:rPr>
          <w:rFonts w:cs="Times New Roman"/>
          <w:lang w:val="es-ES"/>
        </w:rPr>
      </w:pPr>
      <w:r w:rsidRPr="009A51B8">
        <w:rPr>
          <w:rFonts w:cs="Times New Roman"/>
          <w:b/>
          <w:lang w:val="es-ES"/>
        </w:rPr>
        <w:t xml:space="preserve">Uso del visualizador. </w:t>
      </w:r>
      <w:r w:rsidRPr="009A51B8">
        <w:rPr>
          <w:rFonts w:cs="Times New Roman"/>
          <w:lang w:val="es-ES"/>
        </w:rPr>
        <w:t xml:space="preserve">El código se ejecuta en Google </w:t>
      </w:r>
      <w:proofErr w:type="spellStart"/>
      <w:r w:rsidRPr="009A51B8">
        <w:rPr>
          <w:rFonts w:cs="Times New Roman"/>
          <w:lang w:val="es-ES"/>
        </w:rPr>
        <w:t>Colab</w:t>
      </w:r>
      <w:proofErr w:type="spellEnd"/>
      <w:r w:rsidRPr="009A51B8">
        <w:rPr>
          <w:rFonts w:cs="Times New Roman"/>
          <w:lang w:val="es-ES"/>
        </w:rPr>
        <w:t xml:space="preserve"> de manera secuencial y solicita la carga del archivo Excel que contiene las series del EPI. Después de validar la cobertura temporal, los valores y la jerarquía de escenarios, la aplicación habilita un menú para seleccionar un país, una región o el promedio global. Las casillas permiten mostrar las trayectorias intermedias y los tres escenarios, mientras el botón de reproducción desplaza la curva activa desde la posición restrictiva hasta la optimista. Al ubicar el cursor sobre las líneas se consultan los valores de cada año y los principales hitos; al exportar el resultado a PDF o imagen, la figura permanece visible, aunque los controles dejan de ser interactivos.</w:t>
      </w:r>
    </w:p>
    <w:p w14:paraId="04232DD4" w14:textId="0FEE9F47" w:rsidR="000D11B9" w:rsidRPr="009A51B8" w:rsidRDefault="00CD5928" w:rsidP="00CD5928">
      <w:pPr>
        <w:pStyle w:val="Descripcin"/>
        <w:rPr>
          <w:rFonts w:cs="Times New Roman"/>
        </w:rPr>
      </w:pPr>
      <w:r w:rsidRPr="009A51B8">
        <w:rPr>
          <w:rFonts w:cs="Times New Roman"/>
          <w:b/>
          <w:bCs w:val="0"/>
          <w:i w:val="0"/>
          <w:iCs/>
        </w:rPr>
        <w:t xml:space="preserve">Figura </w:t>
      </w:r>
      <w:r w:rsidRPr="009A51B8">
        <w:rPr>
          <w:rFonts w:cs="Times New Roman"/>
          <w:b/>
          <w:bCs w:val="0"/>
          <w:i w:val="0"/>
          <w:iCs/>
        </w:rPr>
        <w:fldChar w:fldCharType="begin"/>
      </w:r>
      <w:r w:rsidRPr="009A51B8">
        <w:rPr>
          <w:rFonts w:cs="Times New Roman"/>
          <w:b/>
          <w:bCs w:val="0"/>
          <w:i w:val="0"/>
          <w:iCs/>
        </w:rPr>
        <w:instrText xml:space="preserve"> SEQ Figura \* ARABIC </w:instrText>
      </w:r>
      <w:r w:rsidRPr="009A51B8">
        <w:rPr>
          <w:rFonts w:cs="Times New Roman"/>
          <w:b/>
          <w:bCs w:val="0"/>
          <w:i w:val="0"/>
          <w:iCs/>
        </w:rPr>
        <w:fldChar w:fldCharType="separate"/>
      </w:r>
      <w:r w:rsidRPr="009A51B8">
        <w:rPr>
          <w:rFonts w:cs="Times New Roman"/>
          <w:b/>
          <w:bCs w:val="0"/>
          <w:i w:val="0"/>
          <w:iCs/>
          <w:noProof/>
        </w:rPr>
        <w:t>4</w:t>
      </w:r>
      <w:r w:rsidRPr="009A51B8">
        <w:rPr>
          <w:rFonts w:cs="Times New Roman"/>
          <w:b/>
          <w:bCs w:val="0"/>
          <w:i w:val="0"/>
          <w:iCs/>
        </w:rPr>
        <w:fldChar w:fldCharType="end"/>
      </w:r>
      <w:r w:rsidRPr="009A51B8">
        <w:rPr>
          <w:rFonts w:cs="Times New Roman"/>
          <w:b/>
          <w:bCs w:val="0"/>
          <w:i w:val="0"/>
          <w:iCs/>
        </w:rPr>
        <w:t>.</w:t>
      </w:r>
      <w:r w:rsidRPr="009A51B8">
        <w:rPr>
          <w:rFonts w:cs="Times New Roman"/>
        </w:rPr>
        <w:br/>
      </w:r>
      <w:proofErr w:type="spellStart"/>
      <w:r w:rsidRPr="009A51B8">
        <w:rPr>
          <w:rFonts w:cs="Times New Roman"/>
        </w:rPr>
        <w:t>Environmental</w:t>
      </w:r>
      <w:proofErr w:type="spellEnd"/>
      <w:r w:rsidRPr="009A51B8">
        <w:rPr>
          <w:rFonts w:cs="Times New Roman"/>
        </w:rPr>
        <w:t xml:space="preserve"> Performance </w:t>
      </w:r>
      <w:proofErr w:type="spellStart"/>
      <w:r w:rsidRPr="009A51B8">
        <w:rPr>
          <w:rFonts w:cs="Times New Roman"/>
        </w:rPr>
        <w:t>Index</w:t>
      </w:r>
      <w:proofErr w:type="spellEnd"/>
      <w:r w:rsidRPr="009A51B8">
        <w:rPr>
          <w:rFonts w:cs="Times New Roman"/>
        </w:rPr>
        <w:t xml:space="preserve"> de Colombia</w:t>
      </w:r>
    </w:p>
    <w:p w14:paraId="54A1DD7B" w14:textId="77777777" w:rsidR="000D11B9" w:rsidRPr="009A51B8" w:rsidRDefault="00000000" w:rsidP="00CD5928">
      <w:pPr>
        <w:pStyle w:val="Sinespaciado"/>
        <w:rPr>
          <w:rFonts w:ascii="Times New Roman" w:hAnsi="Times New Roman" w:cs="Times New Roman"/>
          <w:lang w:val="es-ES"/>
        </w:rPr>
      </w:pPr>
      <w:r w:rsidRPr="009A51B8">
        <w:rPr>
          <w:rFonts w:ascii="Times New Roman" w:hAnsi="Times New Roman" w:cs="Times New Roman"/>
          <w:noProof/>
          <w:lang w:val="es-ES"/>
        </w:rPr>
        <w:drawing>
          <wp:inline distT="0" distB="0" distL="0" distR="0" wp14:anchorId="4F570828" wp14:editId="6A71FEC4">
            <wp:extent cx="4684295" cy="2523025"/>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11"/>
                    <a:srcRect t="6263" b="5149"/>
                    <a:stretch/>
                  </pic:blipFill>
                  <pic:spPr bwMode="auto">
                    <a:xfrm>
                      <a:off x="0" y="0"/>
                      <a:ext cx="4688710" cy="2525403"/>
                    </a:xfrm>
                    <a:prstGeom prst="rect">
                      <a:avLst/>
                    </a:prstGeom>
                    <a:ln>
                      <a:noFill/>
                    </a:ln>
                    <a:extLst>
                      <a:ext uri="{53640926-AAD7-44D8-BBD7-CCE9431645EC}">
                        <a14:shadowObscured xmlns:a14="http://schemas.microsoft.com/office/drawing/2010/main"/>
                      </a:ext>
                    </a:extLst>
                  </pic:spPr>
                </pic:pic>
              </a:graphicData>
            </a:graphic>
          </wp:inline>
        </w:drawing>
      </w:r>
    </w:p>
    <w:p w14:paraId="60BA8BC0" w14:textId="77777777" w:rsidR="000D11B9" w:rsidRPr="009A51B8" w:rsidRDefault="00000000" w:rsidP="00CD5928">
      <w:pPr>
        <w:pStyle w:val="Notaalpie"/>
        <w:rPr>
          <w:rFonts w:cs="Times New Roman"/>
          <w:lang w:val="es-ES"/>
        </w:rPr>
      </w:pPr>
      <w:r w:rsidRPr="009A51B8">
        <w:rPr>
          <w:rFonts w:cs="Times New Roman"/>
          <w:i/>
          <w:lang w:val="es-ES"/>
        </w:rPr>
        <w:t xml:space="preserve">Nota. </w:t>
      </w:r>
      <w:r w:rsidRPr="009A51B8">
        <w:rPr>
          <w:rFonts w:cs="Times New Roman"/>
          <w:lang w:val="es-ES"/>
        </w:rPr>
        <w:t xml:space="preserve">La línea azul petróleo representa la serie histórica armonizada de 2000 a 2025 y la estrella identifica el valor de referencia de 2026. Las líneas azul, verde y roja corresponden a los escenarios optimista, tendencial y restrictivo para 2027–2050. La franja verde muestra el corredor entre los escenarios extremos y no constituye un intervalo de confianza estadístico. Elaboración propia con base en la matriz analítica del EPI y en el marco metodológico de Yale Center </w:t>
      </w:r>
      <w:proofErr w:type="spellStart"/>
      <w:r w:rsidRPr="009A51B8">
        <w:rPr>
          <w:rFonts w:cs="Times New Roman"/>
          <w:lang w:val="es-ES"/>
        </w:rPr>
        <w:t>for</w:t>
      </w:r>
      <w:proofErr w:type="spellEnd"/>
      <w:r w:rsidRPr="009A51B8">
        <w:rPr>
          <w:rFonts w:cs="Times New Roman"/>
          <w:lang w:val="es-ES"/>
        </w:rPr>
        <w:t xml:space="preserve"> </w:t>
      </w:r>
      <w:proofErr w:type="spellStart"/>
      <w:r w:rsidRPr="009A51B8">
        <w:rPr>
          <w:rFonts w:cs="Times New Roman"/>
          <w:lang w:val="es-ES"/>
        </w:rPr>
        <w:t>Environmental</w:t>
      </w:r>
      <w:proofErr w:type="spellEnd"/>
      <w:r w:rsidRPr="009A51B8">
        <w:rPr>
          <w:rFonts w:cs="Times New Roman"/>
          <w:lang w:val="es-ES"/>
        </w:rPr>
        <w:t xml:space="preserve"> Law &amp; Policy (2024).</w:t>
      </w:r>
    </w:p>
    <w:p w14:paraId="6F903D4F" w14:textId="77777777" w:rsidR="000D11B9" w:rsidRPr="009A51B8" w:rsidRDefault="00000000">
      <w:pPr>
        <w:rPr>
          <w:rFonts w:cs="Times New Roman"/>
          <w:lang w:val="es-ES"/>
        </w:rPr>
      </w:pPr>
      <w:r w:rsidRPr="009A51B8">
        <w:rPr>
          <w:rFonts w:cs="Times New Roman"/>
          <w:lang w:val="es-ES"/>
        </w:rPr>
        <w:br w:type="page"/>
      </w:r>
    </w:p>
    <w:p w14:paraId="0B8CE382" w14:textId="77777777" w:rsidR="000D11B9" w:rsidRPr="009A51B8" w:rsidRDefault="00000000" w:rsidP="009A51B8">
      <w:pPr>
        <w:pStyle w:val="Ttulo1"/>
        <w:spacing w:before="0"/>
      </w:pPr>
      <w:r w:rsidRPr="009A51B8">
        <w:lastRenderedPageBreak/>
        <w:t>Calidad de vida digital: conectividad con capacidad de bienestar</w:t>
      </w:r>
    </w:p>
    <w:p w14:paraId="3700A39B" w14:textId="2F10CF3E" w:rsidR="000D11B9" w:rsidRPr="009A51B8" w:rsidRDefault="00000000" w:rsidP="00CD5928">
      <w:pPr>
        <w:pStyle w:val="Prrafodelista"/>
        <w:rPr>
          <w:rFonts w:cs="Times New Roman"/>
          <w:lang w:val="es-ES"/>
        </w:rPr>
      </w:pPr>
      <w:r w:rsidRPr="009A51B8">
        <w:rPr>
          <w:rFonts w:cs="Times New Roman"/>
          <w:lang w:val="es-ES"/>
        </w:rPr>
        <w:t xml:space="preserve">El Digital </w:t>
      </w:r>
      <w:proofErr w:type="spellStart"/>
      <w:r w:rsidRPr="009A51B8">
        <w:rPr>
          <w:rFonts w:cs="Times New Roman"/>
          <w:lang w:val="es-ES"/>
        </w:rPr>
        <w:t>Quality</w:t>
      </w:r>
      <w:proofErr w:type="spellEnd"/>
      <w:r w:rsidRPr="009A51B8">
        <w:rPr>
          <w:rFonts w:cs="Times New Roman"/>
          <w:lang w:val="es-ES"/>
        </w:rPr>
        <w:t xml:space="preserve"> </w:t>
      </w:r>
      <w:proofErr w:type="spellStart"/>
      <w:r w:rsidRPr="009A51B8">
        <w:rPr>
          <w:rFonts w:cs="Times New Roman"/>
          <w:lang w:val="es-ES"/>
        </w:rPr>
        <w:t>of</w:t>
      </w:r>
      <w:proofErr w:type="spellEnd"/>
      <w:r w:rsidRPr="009A51B8">
        <w:rPr>
          <w:rFonts w:cs="Times New Roman"/>
          <w:lang w:val="es-ES"/>
        </w:rPr>
        <w:t xml:space="preserve"> Life </w:t>
      </w:r>
      <w:proofErr w:type="spellStart"/>
      <w:r w:rsidRPr="009A51B8">
        <w:rPr>
          <w:rFonts w:cs="Times New Roman"/>
          <w:lang w:val="es-ES"/>
        </w:rPr>
        <w:t>Index</w:t>
      </w:r>
      <w:proofErr w:type="spellEnd"/>
      <w:r w:rsidRPr="009A51B8">
        <w:rPr>
          <w:rFonts w:cs="Times New Roman"/>
          <w:lang w:val="es-ES"/>
        </w:rPr>
        <w:t xml:space="preserve"> (</w:t>
      </w:r>
      <w:proofErr w:type="spellStart"/>
      <w:r w:rsidRPr="009A51B8">
        <w:rPr>
          <w:rFonts w:cs="Times New Roman"/>
          <w:lang w:val="es-ES"/>
        </w:rPr>
        <w:t>DQL</w:t>
      </w:r>
      <w:proofErr w:type="spellEnd"/>
      <w:r w:rsidRPr="009A51B8">
        <w:rPr>
          <w:rFonts w:cs="Times New Roman"/>
          <w:lang w:val="es-ES"/>
        </w:rPr>
        <w:t>) examina las condiciones que determinan el bienestar de las personas dentro del entorno digital. El indicador no se limita a verificar la existencia de conexión a internet; incorpora la asequibilidad del servicio, la calidad de la conectividad, la infraestructura digital, la seguridad en línea y, en su metodología más reciente, el desarrollo de capacidades asociadas con inteligencia artificial. Esta arquitectura permite distinguir entre una sociedad simplemente conectada y otra que dispone de condiciones suficientes para estudiar, trabajar, realizar trámites, acceder a servicios y participar de manera segura en la economía digital</w:t>
      </w:r>
      <w:r w:rsidR="00CD5928" w:rsidRPr="009A51B8">
        <w:rPr>
          <w:rFonts w:cs="Times New Roman"/>
          <w:lang w:val="es-ES"/>
        </w:rPr>
        <w:t>.</w:t>
      </w:r>
    </w:p>
    <w:p w14:paraId="1544F644" w14:textId="77777777" w:rsidR="000D11B9" w:rsidRPr="009A51B8" w:rsidRDefault="00000000" w:rsidP="00CD5928">
      <w:pPr>
        <w:pStyle w:val="Prrafodelista"/>
        <w:rPr>
          <w:rFonts w:cs="Times New Roman"/>
          <w:lang w:val="es-ES"/>
        </w:rPr>
      </w:pPr>
      <w:r w:rsidRPr="009A51B8">
        <w:rPr>
          <w:rFonts w:cs="Times New Roman"/>
          <w:b/>
          <w:lang w:val="es-ES"/>
        </w:rPr>
        <w:t xml:space="preserve">Uso del visualizador. </w:t>
      </w:r>
      <w:r w:rsidRPr="009A51B8">
        <w:rPr>
          <w:rFonts w:cs="Times New Roman"/>
          <w:lang w:val="es-ES"/>
        </w:rPr>
        <w:t xml:space="preserve">La aplicación se abre en Google </w:t>
      </w:r>
      <w:proofErr w:type="spellStart"/>
      <w:r w:rsidRPr="009A51B8">
        <w:rPr>
          <w:rFonts w:cs="Times New Roman"/>
          <w:lang w:val="es-ES"/>
        </w:rPr>
        <w:t>Colab</w:t>
      </w:r>
      <w:proofErr w:type="spellEnd"/>
      <w:r w:rsidRPr="009A51B8">
        <w:rPr>
          <w:rFonts w:cs="Times New Roman"/>
          <w:lang w:val="es-ES"/>
        </w:rPr>
        <w:t xml:space="preserve">, se ejecutan las celdas en el orden establecido y se carga la base Excel del </w:t>
      </w:r>
      <w:proofErr w:type="spellStart"/>
      <w:r w:rsidRPr="009A51B8">
        <w:rPr>
          <w:rFonts w:cs="Times New Roman"/>
          <w:lang w:val="es-ES"/>
        </w:rPr>
        <w:t>DQL</w:t>
      </w:r>
      <w:proofErr w:type="spellEnd"/>
      <w:r w:rsidRPr="009A51B8">
        <w:rPr>
          <w:rFonts w:cs="Times New Roman"/>
          <w:lang w:val="es-ES"/>
        </w:rPr>
        <w:t xml:space="preserve"> cuando aparece el selector de archivos. El menú desplegable permite consultar un país de forma individual; además, los módulos de comparación enfrentan a Colombia con el promedio de la OCDE o reúnen varios países en una misma vista. El botón de reproducción recorre trayectorias simuladas y el desplazamiento del cursor muestra los valores históricos, la proyección central y el intervalo de predicción. El código conserva sin alteraciones los valores anuales centrales de la base y utiliza las simulaciones únicamente para representar la incertidumbre alrededor de ese pronóstico.</w:t>
      </w:r>
    </w:p>
    <w:p w14:paraId="016F7453" w14:textId="12283A56" w:rsidR="000D11B9" w:rsidRPr="009A51B8" w:rsidRDefault="00CD5928" w:rsidP="00CD5928">
      <w:pPr>
        <w:pStyle w:val="Descripcin"/>
        <w:rPr>
          <w:rFonts w:cs="Times New Roman"/>
        </w:rPr>
      </w:pPr>
      <w:r w:rsidRPr="009A51B8">
        <w:rPr>
          <w:rFonts w:cs="Times New Roman"/>
          <w:b/>
          <w:bCs w:val="0"/>
          <w:i w:val="0"/>
          <w:iCs/>
        </w:rPr>
        <w:t xml:space="preserve">Figura </w:t>
      </w:r>
      <w:r w:rsidRPr="009A51B8">
        <w:rPr>
          <w:rFonts w:cs="Times New Roman"/>
          <w:b/>
          <w:bCs w:val="0"/>
          <w:i w:val="0"/>
          <w:iCs/>
        </w:rPr>
        <w:fldChar w:fldCharType="begin"/>
      </w:r>
      <w:r w:rsidRPr="009A51B8">
        <w:rPr>
          <w:rFonts w:cs="Times New Roman"/>
          <w:b/>
          <w:bCs w:val="0"/>
          <w:i w:val="0"/>
          <w:iCs/>
        </w:rPr>
        <w:instrText xml:space="preserve"> SEQ Figura \* ARABIC </w:instrText>
      </w:r>
      <w:r w:rsidRPr="009A51B8">
        <w:rPr>
          <w:rFonts w:cs="Times New Roman"/>
          <w:b/>
          <w:bCs w:val="0"/>
          <w:i w:val="0"/>
          <w:iCs/>
        </w:rPr>
        <w:fldChar w:fldCharType="separate"/>
      </w:r>
      <w:r w:rsidRPr="009A51B8">
        <w:rPr>
          <w:rFonts w:cs="Times New Roman"/>
          <w:b/>
          <w:bCs w:val="0"/>
          <w:i w:val="0"/>
          <w:iCs/>
          <w:noProof/>
        </w:rPr>
        <w:t>5</w:t>
      </w:r>
      <w:r w:rsidRPr="009A51B8">
        <w:rPr>
          <w:rFonts w:cs="Times New Roman"/>
          <w:b/>
          <w:bCs w:val="0"/>
          <w:i w:val="0"/>
          <w:iCs/>
        </w:rPr>
        <w:fldChar w:fldCharType="end"/>
      </w:r>
      <w:r w:rsidRPr="009A51B8">
        <w:rPr>
          <w:rFonts w:cs="Times New Roman"/>
          <w:b/>
          <w:bCs w:val="0"/>
          <w:i w:val="0"/>
          <w:iCs/>
        </w:rPr>
        <w:t>.</w:t>
      </w:r>
      <w:r w:rsidRPr="009A51B8">
        <w:rPr>
          <w:rFonts w:cs="Times New Roman"/>
          <w:b/>
          <w:bCs w:val="0"/>
          <w:i w:val="0"/>
          <w:iCs/>
        </w:rPr>
        <w:br/>
      </w:r>
      <w:r w:rsidRPr="009A51B8">
        <w:rPr>
          <w:rFonts w:cs="Times New Roman"/>
        </w:rPr>
        <w:t xml:space="preserve">Comparación prospectiva del Digital </w:t>
      </w:r>
      <w:proofErr w:type="spellStart"/>
      <w:r w:rsidRPr="009A51B8">
        <w:rPr>
          <w:rFonts w:cs="Times New Roman"/>
        </w:rPr>
        <w:t>Quality</w:t>
      </w:r>
      <w:proofErr w:type="spellEnd"/>
      <w:r w:rsidRPr="009A51B8">
        <w:rPr>
          <w:rFonts w:cs="Times New Roman"/>
        </w:rPr>
        <w:t xml:space="preserve"> </w:t>
      </w:r>
      <w:proofErr w:type="spellStart"/>
      <w:r w:rsidRPr="009A51B8">
        <w:rPr>
          <w:rFonts w:cs="Times New Roman"/>
        </w:rPr>
        <w:t>of</w:t>
      </w:r>
      <w:proofErr w:type="spellEnd"/>
      <w:r w:rsidRPr="009A51B8">
        <w:rPr>
          <w:rFonts w:cs="Times New Roman"/>
        </w:rPr>
        <w:t xml:space="preserve"> Life </w:t>
      </w:r>
      <w:proofErr w:type="spellStart"/>
      <w:r w:rsidRPr="009A51B8">
        <w:rPr>
          <w:rFonts w:cs="Times New Roman"/>
        </w:rPr>
        <w:t>Index</w:t>
      </w:r>
      <w:proofErr w:type="spellEnd"/>
    </w:p>
    <w:p w14:paraId="2BCE3B44" w14:textId="77777777" w:rsidR="000D11B9" w:rsidRPr="009A51B8" w:rsidRDefault="00000000" w:rsidP="00CD5928">
      <w:pPr>
        <w:pStyle w:val="Sinespaciado"/>
        <w:rPr>
          <w:rFonts w:ascii="Times New Roman" w:hAnsi="Times New Roman" w:cs="Times New Roman"/>
          <w:lang w:val="es-ES"/>
        </w:rPr>
      </w:pPr>
      <w:r w:rsidRPr="009A51B8">
        <w:rPr>
          <w:rFonts w:ascii="Times New Roman" w:hAnsi="Times New Roman" w:cs="Times New Roman"/>
          <w:noProof/>
          <w:lang w:val="es-ES"/>
        </w:rPr>
        <w:drawing>
          <wp:inline distT="0" distB="0" distL="0" distR="0" wp14:anchorId="4493A7E7" wp14:editId="6CE86A48">
            <wp:extent cx="5197642" cy="2725185"/>
            <wp:effectExtent l="0" t="0" r="317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12"/>
                    <a:srcRect t="8973"/>
                    <a:stretch/>
                  </pic:blipFill>
                  <pic:spPr bwMode="auto">
                    <a:xfrm>
                      <a:off x="0" y="0"/>
                      <a:ext cx="5207840" cy="2730532"/>
                    </a:xfrm>
                    <a:prstGeom prst="rect">
                      <a:avLst/>
                    </a:prstGeom>
                    <a:ln>
                      <a:noFill/>
                    </a:ln>
                    <a:extLst>
                      <a:ext uri="{53640926-AAD7-44D8-BBD7-CCE9431645EC}">
                        <a14:shadowObscured xmlns:a14="http://schemas.microsoft.com/office/drawing/2010/main"/>
                      </a:ext>
                    </a:extLst>
                  </pic:spPr>
                </pic:pic>
              </a:graphicData>
            </a:graphic>
          </wp:inline>
        </w:drawing>
      </w:r>
    </w:p>
    <w:p w14:paraId="21C47281" w14:textId="77777777" w:rsidR="000D11B9" w:rsidRPr="009A51B8" w:rsidRDefault="00000000" w:rsidP="00CD5928">
      <w:pPr>
        <w:pStyle w:val="Notaalpie"/>
        <w:rPr>
          <w:rFonts w:cs="Times New Roman"/>
          <w:lang w:val="es-ES"/>
        </w:rPr>
      </w:pPr>
      <w:r w:rsidRPr="009A51B8">
        <w:rPr>
          <w:rFonts w:cs="Times New Roman"/>
          <w:i/>
          <w:lang w:val="es-ES"/>
        </w:rPr>
        <w:t xml:space="preserve">Nota. </w:t>
      </w:r>
      <w:r w:rsidRPr="009A51B8">
        <w:rPr>
          <w:rFonts w:cs="Times New Roman"/>
          <w:lang w:val="es-ES"/>
        </w:rPr>
        <w:t xml:space="preserve">Las series observadas abarcan 2022–2025 y la línea vertical señala el inicio de la proyección en 2026. Las líneas discontinuas representan el pronóstico central incorporado en la base; las curvas continuas prospectivas muestran un escenario simulado activo entre varias trayectorias plausibles. La escala del índice se expresa entre 0 y 1. Fuente histórica: </w:t>
      </w:r>
      <w:proofErr w:type="spellStart"/>
      <w:r w:rsidRPr="009A51B8">
        <w:rPr>
          <w:rFonts w:cs="Times New Roman"/>
          <w:lang w:val="es-ES"/>
        </w:rPr>
        <w:t>Surfshark</w:t>
      </w:r>
      <w:proofErr w:type="spellEnd"/>
      <w:r w:rsidRPr="009A51B8">
        <w:rPr>
          <w:rFonts w:cs="Times New Roman"/>
          <w:lang w:val="es-ES"/>
        </w:rPr>
        <w:t xml:space="preserve"> (2025). Proyecciones y elaboración gráfica propias.</w:t>
      </w:r>
    </w:p>
    <w:p w14:paraId="086972D4" w14:textId="77777777" w:rsidR="000D11B9" w:rsidRPr="009A51B8" w:rsidRDefault="00000000">
      <w:pPr>
        <w:rPr>
          <w:rFonts w:cs="Times New Roman"/>
          <w:lang w:val="es-ES"/>
        </w:rPr>
      </w:pPr>
      <w:r w:rsidRPr="009A51B8">
        <w:rPr>
          <w:rFonts w:cs="Times New Roman"/>
          <w:lang w:val="es-ES"/>
        </w:rPr>
        <w:br w:type="page"/>
      </w:r>
    </w:p>
    <w:p w14:paraId="5066F470" w14:textId="77777777" w:rsidR="000D11B9" w:rsidRPr="009A51B8" w:rsidRDefault="00000000">
      <w:pPr>
        <w:keepNext/>
        <w:spacing w:before="240" w:after="120"/>
        <w:rPr>
          <w:rFonts w:cs="Times New Roman"/>
          <w:lang w:val="es-ES"/>
        </w:rPr>
      </w:pPr>
      <w:r w:rsidRPr="009A51B8">
        <w:rPr>
          <w:rFonts w:cs="Times New Roman"/>
          <w:b/>
          <w:color w:val="144E63"/>
          <w:sz w:val="28"/>
          <w:lang w:val="es-ES"/>
        </w:rPr>
        <w:lastRenderedPageBreak/>
        <w:t>Referencias</w:t>
      </w:r>
    </w:p>
    <w:p w14:paraId="18BC3E79" w14:textId="77777777" w:rsidR="000D11B9" w:rsidRPr="009A51B8" w:rsidRDefault="00000000" w:rsidP="009A51B8">
      <w:pPr>
        <w:spacing w:after="0" w:line="360" w:lineRule="auto"/>
        <w:ind w:left="426" w:hanging="426"/>
        <w:rPr>
          <w:rFonts w:cs="Times New Roman"/>
        </w:rPr>
      </w:pPr>
      <w:r w:rsidRPr="009A51B8">
        <w:rPr>
          <w:rFonts w:cs="Times New Roman"/>
          <w:lang w:val="es-ES"/>
        </w:rPr>
        <w:t xml:space="preserve">Banco Mundial. (s. f.). </w:t>
      </w:r>
      <w:r w:rsidRPr="009A51B8">
        <w:rPr>
          <w:rFonts w:cs="Times New Roman"/>
        </w:rPr>
        <w:t>Human Capital Project. https://www.worldbank.org/en/publication/human-capital</w:t>
      </w:r>
    </w:p>
    <w:p w14:paraId="08B57895" w14:textId="77777777" w:rsidR="000D11B9" w:rsidRPr="009A51B8" w:rsidRDefault="00000000" w:rsidP="009A51B8">
      <w:pPr>
        <w:spacing w:after="0" w:line="360" w:lineRule="auto"/>
        <w:ind w:left="426" w:hanging="426"/>
        <w:rPr>
          <w:rFonts w:cs="Times New Roman"/>
        </w:rPr>
      </w:pPr>
      <w:r w:rsidRPr="009A51B8">
        <w:rPr>
          <w:rFonts w:cs="Times New Roman"/>
        </w:rPr>
        <w:t xml:space="preserve">Centre for Bhutan &amp; </w:t>
      </w:r>
      <w:proofErr w:type="spellStart"/>
      <w:r w:rsidRPr="009A51B8">
        <w:rPr>
          <w:rFonts w:cs="Times New Roman"/>
        </w:rPr>
        <w:t>GNH</w:t>
      </w:r>
      <w:proofErr w:type="spellEnd"/>
      <w:r w:rsidRPr="009A51B8">
        <w:rPr>
          <w:rFonts w:cs="Times New Roman"/>
        </w:rPr>
        <w:t xml:space="preserve"> Studies. (s. f.). Gross National Happiness. https://bhutanstudies.org.bt/gross-national-happiness/</w:t>
      </w:r>
    </w:p>
    <w:p w14:paraId="34DFB0B0" w14:textId="77777777" w:rsidR="000D11B9" w:rsidRPr="009A51B8" w:rsidRDefault="00000000" w:rsidP="009A51B8">
      <w:pPr>
        <w:spacing w:after="0" w:line="360" w:lineRule="auto"/>
        <w:ind w:left="426" w:hanging="426"/>
        <w:rPr>
          <w:rFonts w:cs="Times New Roman"/>
        </w:rPr>
      </w:pPr>
      <w:r w:rsidRPr="009A51B8">
        <w:rPr>
          <w:rFonts w:cs="Times New Roman"/>
          <w:lang w:val="es-ES"/>
        </w:rPr>
        <w:t xml:space="preserve">Organización para la Cooperación y el Desarrollo Económicos. </w:t>
      </w:r>
      <w:r w:rsidRPr="009A51B8">
        <w:rPr>
          <w:rFonts w:cs="Times New Roman"/>
        </w:rPr>
        <w:t>(s. f.). OECD Better Life Index. https://www.oecdbetterlifeindex.org/</w:t>
      </w:r>
    </w:p>
    <w:p w14:paraId="048A3180" w14:textId="77777777" w:rsidR="000D11B9" w:rsidRPr="009A51B8" w:rsidRDefault="00000000" w:rsidP="009A51B8">
      <w:pPr>
        <w:spacing w:after="0" w:line="360" w:lineRule="auto"/>
        <w:ind w:left="426" w:hanging="426"/>
        <w:rPr>
          <w:rFonts w:cs="Times New Roman"/>
        </w:rPr>
      </w:pPr>
      <w:r w:rsidRPr="009A51B8">
        <w:rPr>
          <w:rFonts w:cs="Times New Roman"/>
        </w:rPr>
        <w:t>Surfshark. (2025). Digital Quality of Life Index: Methodology. https://surfshark.com/research/dql/methodology</w:t>
      </w:r>
    </w:p>
    <w:p w14:paraId="44999BA5" w14:textId="77777777" w:rsidR="000D11B9" w:rsidRPr="009A51B8" w:rsidRDefault="00000000" w:rsidP="009A51B8">
      <w:pPr>
        <w:spacing w:after="0" w:line="360" w:lineRule="auto"/>
        <w:ind w:left="426" w:hanging="426"/>
        <w:rPr>
          <w:rFonts w:cs="Times New Roman"/>
          <w:lang w:val="es-ES"/>
        </w:rPr>
      </w:pPr>
      <w:r w:rsidRPr="009A51B8">
        <w:rPr>
          <w:rFonts w:cs="Times New Roman"/>
        </w:rPr>
        <w:t xml:space="preserve">Yale Center for Environmental Law &amp; Policy. </w:t>
      </w:r>
      <w:r w:rsidRPr="009A51B8">
        <w:rPr>
          <w:rFonts w:cs="Times New Roman"/>
          <w:lang w:val="es-ES"/>
        </w:rPr>
        <w:t xml:space="preserve">(2024). 2024 </w:t>
      </w:r>
      <w:proofErr w:type="spellStart"/>
      <w:r w:rsidRPr="009A51B8">
        <w:rPr>
          <w:rFonts w:cs="Times New Roman"/>
          <w:lang w:val="es-ES"/>
        </w:rPr>
        <w:t>Environmental</w:t>
      </w:r>
      <w:proofErr w:type="spellEnd"/>
      <w:r w:rsidRPr="009A51B8">
        <w:rPr>
          <w:rFonts w:cs="Times New Roman"/>
          <w:lang w:val="es-ES"/>
        </w:rPr>
        <w:t xml:space="preserve"> Performance </w:t>
      </w:r>
      <w:proofErr w:type="spellStart"/>
      <w:r w:rsidRPr="009A51B8">
        <w:rPr>
          <w:rFonts w:cs="Times New Roman"/>
          <w:lang w:val="es-ES"/>
        </w:rPr>
        <w:t>Index</w:t>
      </w:r>
      <w:proofErr w:type="spellEnd"/>
      <w:r w:rsidRPr="009A51B8">
        <w:rPr>
          <w:rFonts w:cs="Times New Roman"/>
          <w:lang w:val="es-ES"/>
        </w:rPr>
        <w:t>. https://epi.yale.edu</w:t>
      </w:r>
    </w:p>
    <w:sectPr w:rsidR="000D11B9" w:rsidRPr="009A51B8" w:rsidSect="00034616">
      <w:headerReference w:type="default" r:id="rId13"/>
      <w:pgSz w:w="12240" w:h="15840"/>
      <w:pgMar w:top="1224" w:right="1296" w:bottom="1152"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C369E2" w14:textId="77777777" w:rsidR="008453A1" w:rsidRDefault="008453A1">
      <w:pPr>
        <w:spacing w:after="0" w:line="240" w:lineRule="auto"/>
      </w:pPr>
      <w:r>
        <w:separator/>
      </w:r>
    </w:p>
  </w:endnote>
  <w:endnote w:type="continuationSeparator" w:id="0">
    <w:p w14:paraId="3AC80EF4" w14:textId="77777777" w:rsidR="008453A1" w:rsidRDefault="008453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7E2E67" w14:textId="77777777" w:rsidR="008453A1" w:rsidRDefault="008453A1">
      <w:pPr>
        <w:spacing w:after="0" w:line="240" w:lineRule="auto"/>
      </w:pPr>
      <w:r>
        <w:separator/>
      </w:r>
    </w:p>
  </w:footnote>
  <w:footnote w:type="continuationSeparator" w:id="0">
    <w:p w14:paraId="4791EBCA" w14:textId="77777777" w:rsidR="008453A1" w:rsidRDefault="008453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D494C" w14:textId="77777777" w:rsidR="000D11B9" w:rsidRDefault="000D11B9">
    <w:pPr>
      <w:pStyle w:val="Encabezado"/>
    </w:pPr>
  </w:p>
  <w:tbl>
    <w:tblPr>
      <w:tblW w:w="0" w:type="auto"/>
      <w:jc w:val="center"/>
      <w:tblLayout w:type="fixed"/>
      <w:tblLook w:val="04A0" w:firstRow="1" w:lastRow="0" w:firstColumn="1" w:lastColumn="0" w:noHBand="0" w:noVBand="1"/>
    </w:tblPr>
    <w:tblGrid>
      <w:gridCol w:w="4824"/>
      <w:gridCol w:w="4824"/>
    </w:tblGrid>
    <w:tr w:rsidR="000D11B9" w14:paraId="7A9F4366" w14:textId="77777777">
      <w:trPr>
        <w:jc w:val="center"/>
      </w:trPr>
      <w:tc>
        <w:tcPr>
          <w:tcW w:w="4824" w:type="dxa"/>
          <w:tcMar>
            <w:top w:w="0" w:type="dxa"/>
            <w:left w:w="0" w:type="dxa"/>
            <w:bottom w:w="0" w:type="dxa"/>
            <w:right w:w="0" w:type="dxa"/>
          </w:tcMar>
          <w:vAlign w:val="center"/>
        </w:tcPr>
        <w:p w14:paraId="5D11E943" w14:textId="3398DC08" w:rsidR="000D11B9" w:rsidRDefault="000D11B9"/>
      </w:tc>
      <w:tc>
        <w:tcPr>
          <w:tcW w:w="4824" w:type="dxa"/>
          <w:tcMar>
            <w:top w:w="0" w:type="dxa"/>
            <w:left w:w="0" w:type="dxa"/>
            <w:bottom w:w="0" w:type="dxa"/>
            <w:right w:w="0" w:type="dxa"/>
          </w:tcMar>
          <w:vAlign w:val="center"/>
        </w:tcPr>
        <w:p w14:paraId="132E8489" w14:textId="77777777" w:rsidR="000D11B9" w:rsidRDefault="00000000">
          <w:pPr>
            <w:jc w:val="right"/>
          </w:pPr>
          <w:r>
            <w:rPr>
              <w:rFonts w:ascii="Arial" w:hAnsi="Arial"/>
              <w:color w:val="4B5563"/>
              <w:sz w:val="18"/>
            </w:rPr>
            <w:fldChar w:fldCharType="begin"/>
          </w:r>
          <w:r>
            <w:rPr>
              <w:rFonts w:ascii="Arial" w:hAnsi="Arial"/>
              <w:color w:val="4B5563"/>
              <w:sz w:val="18"/>
            </w:rPr>
            <w:instrText xml:space="preserve"> PAGE </w:instrText>
          </w:r>
          <w:r>
            <w:rPr>
              <w:rFonts w:ascii="Arial" w:hAnsi="Arial"/>
              <w:color w:val="4B5563"/>
              <w:sz w:val="18"/>
            </w:rPr>
            <w:fldChar w:fldCharType="separate"/>
          </w:r>
          <w:r w:rsidR="00CD5928">
            <w:rPr>
              <w:rFonts w:ascii="Arial" w:hAnsi="Arial"/>
              <w:noProof/>
              <w:color w:val="4B5563"/>
              <w:sz w:val="18"/>
            </w:rPr>
            <w:t>1</w:t>
          </w:r>
          <w:r>
            <w:rPr>
              <w:rFonts w:ascii="Arial" w:hAnsi="Arial"/>
              <w:color w:val="4B5563"/>
              <w:sz w:val="18"/>
            </w:rPr>
            <w:fldChar w:fldCharType="end"/>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3E9763A9"/>
    <w:multiLevelType w:val="multilevel"/>
    <w:tmpl w:val="E6CA5B92"/>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num w:numId="1" w16cid:durableId="108164378">
    <w:abstractNumId w:val="8"/>
  </w:num>
  <w:num w:numId="2" w16cid:durableId="399908178">
    <w:abstractNumId w:val="6"/>
  </w:num>
  <w:num w:numId="3" w16cid:durableId="1816676243">
    <w:abstractNumId w:val="5"/>
  </w:num>
  <w:num w:numId="4" w16cid:durableId="1260724508">
    <w:abstractNumId w:val="4"/>
  </w:num>
  <w:num w:numId="5" w16cid:durableId="455219307">
    <w:abstractNumId w:val="7"/>
  </w:num>
  <w:num w:numId="6" w16cid:durableId="1848246756">
    <w:abstractNumId w:val="3"/>
  </w:num>
  <w:num w:numId="7" w16cid:durableId="1283462388">
    <w:abstractNumId w:val="2"/>
  </w:num>
  <w:num w:numId="8" w16cid:durableId="1790859436">
    <w:abstractNumId w:val="1"/>
  </w:num>
  <w:num w:numId="9" w16cid:durableId="81805247">
    <w:abstractNumId w:val="0"/>
  </w:num>
  <w:num w:numId="10" w16cid:durableId="1824769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11B9"/>
    <w:rsid w:val="0015074B"/>
    <w:rsid w:val="0029639D"/>
    <w:rsid w:val="002C214C"/>
    <w:rsid w:val="00326F90"/>
    <w:rsid w:val="008453A1"/>
    <w:rsid w:val="009A51B8"/>
    <w:rsid w:val="00AA1D8D"/>
    <w:rsid w:val="00B336FD"/>
    <w:rsid w:val="00B47730"/>
    <w:rsid w:val="00CB0664"/>
    <w:rsid w:val="00CD592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F4F26F"/>
  <w14:defaultImageDpi w14:val="300"/>
  <w15:docId w15:val="{06DFCFF1-51EB-417B-865F-F7909CBD0E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Ttulo1">
    <w:name w:val="heading 1"/>
    <w:basedOn w:val="Normal"/>
    <w:next w:val="Normal"/>
    <w:link w:val="Ttulo1Car"/>
    <w:uiPriority w:val="9"/>
    <w:qFormat/>
    <w:rsid w:val="009A51B8"/>
    <w:pPr>
      <w:keepNext/>
      <w:keepLines/>
      <w:numPr>
        <w:numId w:val="10"/>
      </w:numPr>
      <w:spacing w:before="480" w:after="0"/>
      <w:outlineLvl w:val="0"/>
    </w:pPr>
    <w:rPr>
      <w:rFonts w:eastAsiaTheme="majorEastAsia" w:cstheme="majorBidi"/>
      <w:b/>
      <w:bCs/>
      <w:sz w:val="28"/>
      <w:szCs w:val="28"/>
      <w:lang w:val="es-MX"/>
    </w:rPr>
  </w:style>
  <w:style w:type="paragraph" w:styleId="Ttulo2">
    <w:name w:val="heading 2"/>
    <w:basedOn w:val="Normal"/>
    <w:next w:val="Normal"/>
    <w:link w:val="Ttulo2Car"/>
    <w:uiPriority w:val="9"/>
    <w:unhideWhenUsed/>
    <w:qFormat/>
    <w:rsid w:val="00CD5928"/>
    <w:pPr>
      <w:keepNext/>
      <w:keepLines/>
      <w:numPr>
        <w:ilvl w:val="1"/>
        <w:numId w:val="10"/>
      </w:numPr>
      <w:spacing w:before="200" w:after="0"/>
      <w:outlineLvl w:val="1"/>
    </w:pPr>
    <w:rPr>
      <w:rFonts w:eastAsiaTheme="majorEastAsia" w:cstheme="majorBidi"/>
      <w:b/>
      <w:bCs/>
      <w:color w:val="002060"/>
      <w:sz w:val="26"/>
      <w:szCs w:val="26"/>
    </w:rPr>
  </w:style>
  <w:style w:type="paragraph" w:styleId="Ttulo3">
    <w:name w:val="heading 3"/>
    <w:basedOn w:val="Normal"/>
    <w:next w:val="Normal"/>
    <w:link w:val="Ttulo3Car"/>
    <w:uiPriority w:val="9"/>
    <w:unhideWhenUsed/>
    <w:qFormat/>
    <w:rsid w:val="00FC693F"/>
    <w:pPr>
      <w:keepNext/>
      <w:keepLines/>
      <w:numPr>
        <w:ilvl w:val="2"/>
        <w:numId w:val="10"/>
      </w:numPr>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numPr>
        <w:ilvl w:val="3"/>
        <w:numId w:val="10"/>
      </w:numPr>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numPr>
        <w:ilvl w:val="4"/>
        <w:numId w:val="10"/>
      </w:numPr>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numPr>
        <w:ilvl w:val="5"/>
        <w:numId w:val="10"/>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numPr>
        <w:ilvl w:val="7"/>
        <w:numId w:val="10"/>
      </w:numPr>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numPr>
        <w:ilvl w:val="8"/>
        <w:numId w:val="1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9A51B8"/>
    <w:rPr>
      <w:rFonts w:ascii="Times New Roman" w:eastAsiaTheme="majorEastAsia" w:hAnsi="Times New Roman" w:cstheme="majorBidi"/>
      <w:b/>
      <w:bCs/>
      <w:sz w:val="28"/>
      <w:szCs w:val="28"/>
      <w:lang w:val="es-MX"/>
    </w:rPr>
  </w:style>
  <w:style w:type="character" w:customStyle="1" w:styleId="Ttulo2Car">
    <w:name w:val="Título 2 Car"/>
    <w:basedOn w:val="Fuentedeprrafopredeter"/>
    <w:link w:val="Ttulo2"/>
    <w:uiPriority w:val="9"/>
    <w:rsid w:val="00CD5928"/>
    <w:rPr>
      <w:rFonts w:ascii="Times New Roman" w:eastAsiaTheme="majorEastAsia" w:hAnsi="Times New Roman" w:cstheme="majorBidi"/>
      <w:b/>
      <w:bCs/>
      <w:color w:val="002060"/>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CD5928"/>
    <w:pPr>
      <w:spacing w:before="120" w:after="120" w:line="360" w:lineRule="auto"/>
      <w:ind w:firstLine="720"/>
      <w:contextualSpacing/>
      <w:jc w:val="both"/>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unhideWhenUsed/>
    <w:qFormat/>
    <w:rsid w:val="00CD5928"/>
    <w:pPr>
      <w:spacing w:line="240" w:lineRule="auto"/>
    </w:pPr>
    <w:rPr>
      <w:bCs/>
      <w:i/>
      <w:color w:val="000000" w:themeColor="text1"/>
      <w:sz w:val="18"/>
      <w:szCs w:val="18"/>
      <w:lang w:val="es-ES"/>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aalpie">
    <w:name w:val="Nota al pie"/>
    <w:basedOn w:val="Normal"/>
    <w:link w:val="NotaalpieCar"/>
    <w:qFormat/>
    <w:rsid w:val="00CD5928"/>
    <w:pPr>
      <w:spacing w:after="0" w:line="240" w:lineRule="auto"/>
      <w:jc w:val="both"/>
    </w:pPr>
    <w:rPr>
      <w:sz w:val="16"/>
      <w:lang w:val="es-MX"/>
    </w:rPr>
  </w:style>
  <w:style w:type="character" w:customStyle="1" w:styleId="NotaalpieCar">
    <w:name w:val="Nota al pie Car"/>
    <w:basedOn w:val="Fuentedeprrafopredeter"/>
    <w:link w:val="Notaalpie"/>
    <w:rsid w:val="00CD5928"/>
    <w:rPr>
      <w:rFonts w:ascii="Times New Roman" w:hAnsi="Times New Roman"/>
      <w:sz w:val="16"/>
      <w:lang w:val="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7</Pages>
  <Words>1909</Words>
  <Characters>10505</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12390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Indicadores prospectivos de bienestar integral</dc:title>
  <dc:subject>Índice para una Vida Mejor, Felicidad Nacional Bruta, Human Capital Index, EPI y DQL</dc:subject>
  <dc:creator>Observatorio de Prospectiva</dc:creator>
  <cp:keywords>bienestar integral, prospectiva, OCDE, capital humano, EPI, DQL, felicidad nacional bruta</cp:keywords>
  <dc:description>generated by python-docx</dc:description>
  <cp:lastModifiedBy>User</cp:lastModifiedBy>
  <cp:revision>3</cp:revision>
  <dcterms:created xsi:type="dcterms:W3CDTF">2013-12-23T23:15:00Z</dcterms:created>
  <dcterms:modified xsi:type="dcterms:W3CDTF">2026-07-24T12:18:00Z</dcterms:modified>
  <cp:category/>
</cp:coreProperties>
</file>