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CD5DC" w14:textId="77777777" w:rsidR="00DD619B" w:rsidRDefault="00DD619B" w:rsidP="00DD619B">
      <w:pPr>
        <w:pStyle w:val="Heading1"/>
        <w:numPr>
          <w:ilvl w:val="0"/>
          <w:numId w:val="0"/>
        </w:numPr>
      </w:pPr>
      <w:r>
        <w:t>Índice para una Vida Mejor: el bienestar observado desde múltiples dimensiones</w:t>
      </w:r>
    </w:p>
    <w:p w14:paraId="54D53768" w14:textId="77777777" w:rsidR="00DD619B" w:rsidRDefault="00DD619B" w:rsidP="00DD619B">
      <w:pPr>
        <w:pStyle w:val="ListParagraph"/>
        <w:ind w:firstLine="0"/>
        <w:rPr>
          <w:rFonts w:cs="Times New Roman"/>
          <w:lang w:val="es-ES"/>
        </w:rPr>
      </w:pPr>
      <w:r>
        <w:rPr>
          <w:rFonts w:cs="Times New Roman"/>
          <w:lang w:val="es-ES"/>
        </w:rPr>
        <w:t xml:space="preserve">El Índice para una Vida Mejor de la Organización para la Cooperación y el Desarrollo Económicos (OCDE) propone una lectura multidimensional del bienestar que supera la comparación basada exclusivamente en la producción o el ingreso. Su marco considera condiciones materiales y factores de calidad de vida vinculados con vivienda, ingresos, empleo, comunidad, educación, ambiente, participación cívica, salud, satisfacción con la vida, seguridad y equilibrio entre trabajo y vida personal. En el panel prospectivo, esta arquitectura se operacionaliza mediante un puntaje agregado y ocho indicadores comparables: esperanza de vida, empleo, desempleo de larga duración, ingreso disponible ajustado, educación secundaria superior, homicidios, exposición a material particulado PM2.5 y puntaje de bienestar </w:t>
      </w:r>
    </w:p>
    <w:p w14:paraId="2F45A9C3" w14:textId="12BB6C92" w:rsidR="00040768" w:rsidRPr="00DD619B" w:rsidRDefault="00DD619B" w:rsidP="00DD619B">
      <w:pPr>
        <w:rPr>
          <w:lang w:val="es-CO"/>
        </w:rPr>
      </w:pPr>
      <w:r>
        <w:rPr>
          <w:rFonts w:cs="Times New Roman"/>
          <w:b/>
          <w:lang w:val="es-ES"/>
        </w:rPr>
        <w:t xml:space="preserve">Uso del visualizador. </w:t>
      </w:r>
      <w:r>
        <w:rPr>
          <w:rFonts w:cs="Times New Roman"/>
          <w:lang w:val="es-ES"/>
        </w:rPr>
        <w:t xml:space="preserve">El cuaderno se ejecuta en Google </w:t>
      </w:r>
      <w:proofErr w:type="spellStart"/>
      <w:r>
        <w:rPr>
          <w:rFonts w:cs="Times New Roman"/>
          <w:lang w:val="es-ES"/>
        </w:rPr>
        <w:t>Colab</w:t>
      </w:r>
      <w:proofErr w:type="spellEnd"/>
      <w:r>
        <w:rPr>
          <w:rFonts w:cs="Times New Roman"/>
          <w:lang w:val="es-ES"/>
        </w:rPr>
        <w:t xml:space="preserve"> siguiendo el orden de las celdas y solicita cargar el archivo Excel consolidado del Índice para una Vida Mejor. El panel principal permite seleccionar país e indicador, consultar tarjetas de síntesis, ampliar periodos mediante zoom y utilizar botones de rango para separar historia y proyección. El constructor de escenarios modifica la amplitud optimista y restrictiva, así como la amortiguación de la tendencia; el módulo de ranking admite seleccionar varios países, un escenario y un intervalo de años. También se incluyen comparaciones entre Colombia y el promedio OCDE y un explorador </w:t>
      </w:r>
      <w:proofErr w:type="spellStart"/>
      <w:r>
        <w:rPr>
          <w:rFonts w:cs="Times New Roman"/>
          <w:lang w:val="es-ES"/>
        </w:rPr>
        <w:t>multipaís</w:t>
      </w:r>
      <w:proofErr w:type="spellEnd"/>
      <w:r>
        <w:rPr>
          <w:rFonts w:cs="Times New Roman"/>
          <w:lang w:val="es-ES"/>
        </w:rPr>
        <w:t xml:space="preserve"> por año.</w:t>
      </w:r>
    </w:p>
    <w:sectPr w:rsidR="00040768" w:rsidRPr="00DD61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9763A9"/>
    <w:multiLevelType w:val="multilevel"/>
    <w:tmpl w:val="E6CA5B9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19B"/>
    <w:rsid w:val="00040768"/>
    <w:rsid w:val="00DD6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ED430"/>
  <w15:chartTrackingRefBased/>
  <w15:docId w15:val="{4F39A5FF-EAB8-4404-A400-ED418BB57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19B"/>
    <w:pPr>
      <w:spacing w:after="200" w:line="276" w:lineRule="auto"/>
    </w:pPr>
    <w:rPr>
      <w:rFonts w:ascii="Times New Roman" w:eastAsiaTheme="minorEastAsia" w:hAnsi="Times New Roman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619B"/>
    <w:pPr>
      <w:keepNext/>
      <w:keepLines/>
      <w:numPr>
        <w:numId w:val="1"/>
      </w:numPr>
      <w:spacing w:before="480" w:after="0"/>
      <w:outlineLvl w:val="0"/>
    </w:pPr>
    <w:rPr>
      <w:rFonts w:eastAsiaTheme="majorEastAsia" w:cstheme="majorBidi"/>
      <w:b/>
      <w:bCs/>
      <w:sz w:val="28"/>
      <w:szCs w:val="28"/>
      <w:lang w:val="es-MX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19B"/>
    <w:pPr>
      <w:keepNext/>
      <w:keepLines/>
      <w:numPr>
        <w:ilvl w:val="1"/>
        <w:numId w:val="1"/>
      </w:numPr>
      <w:spacing w:before="200" w:after="0"/>
      <w:outlineLvl w:val="1"/>
    </w:pPr>
    <w:rPr>
      <w:rFonts w:eastAsiaTheme="majorEastAsia" w:cstheme="majorBidi"/>
      <w:b/>
      <w:bCs/>
      <w:color w:val="0020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19B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19B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19B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19B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19B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19B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19B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19B"/>
    <w:rPr>
      <w:rFonts w:ascii="Times New Roman" w:eastAsiaTheme="majorEastAsia" w:hAnsi="Times New Roman" w:cstheme="majorBidi"/>
      <w:b/>
      <w:bCs/>
      <w:sz w:val="28"/>
      <w:szCs w:val="28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19B"/>
    <w:rPr>
      <w:rFonts w:ascii="Times New Roman" w:eastAsiaTheme="majorEastAsia" w:hAnsi="Times New Roman" w:cstheme="majorBidi"/>
      <w:b/>
      <w:bCs/>
      <w:color w:val="002060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19B"/>
    <w:rPr>
      <w:rFonts w:asciiTheme="majorHAnsi" w:eastAsiaTheme="majorEastAsia" w:hAnsiTheme="majorHAnsi" w:cstheme="majorBidi"/>
      <w:b/>
      <w:bCs/>
      <w:color w:val="4472C4" w:themeColor="accent1"/>
      <w:sz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19B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19B"/>
    <w:rPr>
      <w:rFonts w:asciiTheme="majorHAnsi" w:eastAsiaTheme="majorEastAsia" w:hAnsiTheme="majorHAnsi" w:cstheme="majorBidi"/>
      <w:color w:val="1F3763" w:themeColor="accent1" w:themeShade="7F"/>
      <w:sz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19B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19B"/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19B"/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1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DD619B"/>
    <w:pPr>
      <w:spacing w:before="120" w:after="120" w:line="360" w:lineRule="auto"/>
      <w:ind w:firstLine="720"/>
      <w:contextualSpacing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7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Casanova</dc:creator>
  <cp:keywords/>
  <dc:description/>
  <cp:lastModifiedBy>Julian Casanova</cp:lastModifiedBy>
  <cp:revision>1</cp:revision>
  <dcterms:created xsi:type="dcterms:W3CDTF">2026-08-07T21:59:00Z</dcterms:created>
  <dcterms:modified xsi:type="dcterms:W3CDTF">2026-08-07T22:00:00Z</dcterms:modified>
</cp:coreProperties>
</file>