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6FE01C" w14:textId="77777777" w:rsidR="00472186" w:rsidRDefault="00472186" w:rsidP="00472186">
      <w:pPr>
        <w:pStyle w:val="Heading1"/>
        <w:numPr>
          <w:ilvl w:val="0"/>
          <w:numId w:val="0"/>
        </w:numPr>
        <w:ind w:left="432" w:hanging="432"/>
      </w:pPr>
      <w:r>
        <w:t>Capital humano: capacidades acumuladas a lo largo del ciclo de vida</w:t>
      </w:r>
    </w:p>
    <w:p w14:paraId="67F564E4" w14:textId="77777777" w:rsidR="00472186" w:rsidRDefault="00472186" w:rsidP="00472186">
      <w:pPr>
        <w:pStyle w:val="ListParagraph"/>
        <w:ind w:firstLine="0"/>
        <w:rPr>
          <w:rFonts w:cs="Times New Roman"/>
          <w:lang w:val="es-ES"/>
        </w:rPr>
      </w:pPr>
      <w:r>
        <w:rPr>
          <w:rFonts w:cs="Times New Roman"/>
          <w:lang w:val="es-ES"/>
        </w:rPr>
        <w:t xml:space="preserve">El Índice de Capital Humano del Banco Mundial resume, en una escala de 0 a 1, cuánto capital humano puede alcanzar un niño nacido hoy gracias a su salud y su educación. Este visualizador amplía esa lectura con los componentes del índice extendido (HCI+): educación, empleo y aprendizaje continuo, salud y nutrición, brechas de género y distancia frente al máximo, con escenarios de futuro para Colombia y los países disponibles.</w:t>
      </w:r>
    </w:p>
    <w:p w14:paraId="4C2C6D0C" w14:textId="77777777" w:rsidR="00472186" w:rsidRDefault="00472186" w:rsidP="00472186">
      <w:pPr>
        <w:pStyle w:val="ListParagraph"/>
        <w:ind w:firstLine="0"/>
        <w:rPr>
          <w:rFonts w:cs="Times New Roman"/>
          <w:lang w:val="es-ES"/>
        </w:rPr>
      </w:pPr>
      <w:r>
        <w:rPr>
          <w:b/>
          <w:rFonts w:cs="Times New Roman"/>
          <w:lang w:val="es-ES"/>
        </w:rPr>
        <w:t xml:space="preserve">Cómo usar el visualizador. </w:t>
      </w:r>
      <w:r>
        <w:rPr>
          <w:rFonts w:cs="Times New Roman"/>
          <w:lang w:val="es-ES"/>
        </w:rPr>
        <w:t xml:space="preserve">Elija en el desplegable el indicador que quiere seguir (índice equivalente, índice tradicional, brecha de género, brecha frente al máximo o cualquiera de los componentes) y observe su historia junto a los tres escenarios prospectivos. Active o apague escenarios desde la leyenda y pase el cursor sobre cada punto para leer año, valor y tipo de dato.</w:t>
      </w:r>
    </w:p>
    <w:p w14:paraId="5779F85D" w14:textId="77777777" w:rsidR="00040768" w:rsidRPr="00472186" w:rsidRDefault="00040768">
      <w:pPr>
        <w:rPr>
          <w:lang w:val="es-ES"/>
        </w:rPr>
      </w:pPr>
    </w:p>
    <w:sectPr w:rsidR="00040768" w:rsidRPr="0047218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9763A9"/>
    <w:multiLevelType w:val="multilevel"/>
    <w:tmpl w:val="E6CA5B9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186"/>
    <w:rsid w:val="00040768"/>
    <w:rsid w:val="00472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26073"/>
  <w15:chartTrackingRefBased/>
  <w15:docId w15:val="{1D5C211D-3CB6-46B5-B43A-C7AB69C20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2186"/>
    <w:pPr>
      <w:keepNext/>
      <w:keepLines/>
      <w:numPr>
        <w:numId w:val="1"/>
      </w:numPr>
      <w:spacing w:before="480" w:after="0" w:line="276" w:lineRule="auto"/>
      <w:outlineLvl w:val="0"/>
    </w:pPr>
    <w:rPr>
      <w:rFonts w:ascii="Times New Roman" w:eastAsiaTheme="majorEastAsia" w:hAnsi="Times New Roman" w:cstheme="majorBidi"/>
      <w:b/>
      <w:bCs/>
      <w:sz w:val="28"/>
      <w:szCs w:val="28"/>
      <w:lang w:val="es-MX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2186"/>
    <w:pPr>
      <w:keepNext/>
      <w:keepLines/>
      <w:numPr>
        <w:ilvl w:val="1"/>
        <w:numId w:val="1"/>
      </w:numPr>
      <w:spacing w:before="200" w:after="0" w:line="276" w:lineRule="auto"/>
      <w:outlineLvl w:val="1"/>
    </w:pPr>
    <w:rPr>
      <w:rFonts w:ascii="Times New Roman" w:eastAsiaTheme="majorEastAsia" w:hAnsi="Times New Roman" w:cstheme="majorBidi"/>
      <w:b/>
      <w:bCs/>
      <w:color w:val="002060"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2186"/>
    <w:pPr>
      <w:keepNext/>
      <w:keepLines/>
      <w:numPr>
        <w:ilvl w:val="2"/>
        <w:numId w:val="1"/>
      </w:numPr>
      <w:spacing w:before="200" w:after="0" w:line="276" w:lineRule="auto"/>
      <w:outlineLvl w:val="2"/>
    </w:pPr>
    <w:rPr>
      <w:rFonts w:asciiTheme="majorHAnsi" w:eastAsiaTheme="majorEastAsia" w:hAnsiTheme="majorHAnsi" w:cstheme="majorBidi"/>
      <w:b/>
      <w:bCs/>
      <w:color w:val="4472C4" w:themeColor="accent1"/>
      <w:sz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2186"/>
    <w:pPr>
      <w:keepNext/>
      <w:keepLines/>
      <w:numPr>
        <w:ilvl w:val="3"/>
        <w:numId w:val="1"/>
      </w:numPr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  <w:sz w:val="24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2186"/>
    <w:pPr>
      <w:keepNext/>
      <w:keepLines/>
      <w:numPr>
        <w:ilvl w:val="4"/>
        <w:numId w:val="1"/>
      </w:numPr>
      <w:spacing w:before="200" w:after="0" w:line="276" w:lineRule="auto"/>
      <w:outlineLvl w:val="4"/>
    </w:pPr>
    <w:rPr>
      <w:rFonts w:asciiTheme="majorHAnsi" w:eastAsiaTheme="majorEastAsia" w:hAnsiTheme="majorHAnsi" w:cstheme="majorBidi"/>
      <w:color w:val="1F3763" w:themeColor="accent1" w:themeShade="7F"/>
      <w:sz w:val="24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2186"/>
    <w:pPr>
      <w:keepNext/>
      <w:keepLines/>
      <w:numPr>
        <w:ilvl w:val="5"/>
        <w:numId w:val="1"/>
      </w:numPr>
      <w:spacing w:before="200" w:after="0" w:line="276" w:lineRule="auto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  <w:sz w:val="24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2186"/>
    <w:pPr>
      <w:keepNext/>
      <w:keepLines/>
      <w:numPr>
        <w:ilvl w:val="6"/>
        <w:numId w:val="1"/>
      </w:numPr>
      <w:spacing w:before="200" w:after="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2186"/>
    <w:pPr>
      <w:keepNext/>
      <w:keepLines/>
      <w:numPr>
        <w:ilvl w:val="7"/>
        <w:numId w:val="1"/>
      </w:numPr>
      <w:spacing w:before="200" w:after="0" w:line="276" w:lineRule="auto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2186"/>
    <w:pPr>
      <w:keepNext/>
      <w:keepLines/>
      <w:numPr>
        <w:ilvl w:val="8"/>
        <w:numId w:val="1"/>
      </w:numPr>
      <w:spacing w:before="200" w:after="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2186"/>
    <w:rPr>
      <w:rFonts w:ascii="Times New Roman" w:eastAsiaTheme="majorEastAsia" w:hAnsi="Times New Roman" w:cstheme="majorBidi"/>
      <w:b/>
      <w:bCs/>
      <w:sz w:val="28"/>
      <w:szCs w:val="28"/>
      <w:lang w:val="es-MX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2186"/>
    <w:rPr>
      <w:rFonts w:ascii="Times New Roman" w:eastAsiaTheme="majorEastAsia" w:hAnsi="Times New Roman" w:cstheme="majorBidi"/>
      <w:b/>
      <w:bCs/>
      <w:color w:val="002060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2186"/>
    <w:rPr>
      <w:rFonts w:asciiTheme="majorHAnsi" w:eastAsiaTheme="majorEastAsia" w:hAnsiTheme="majorHAnsi" w:cstheme="majorBidi"/>
      <w:b/>
      <w:bCs/>
      <w:color w:val="4472C4" w:themeColor="accent1"/>
      <w:sz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2186"/>
    <w:rPr>
      <w:rFonts w:asciiTheme="majorHAnsi" w:eastAsiaTheme="majorEastAsia" w:hAnsiTheme="majorHAnsi" w:cstheme="majorBidi"/>
      <w:b/>
      <w:bCs/>
      <w:i/>
      <w:iCs/>
      <w:color w:val="4472C4" w:themeColor="accent1"/>
      <w:sz w:val="24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2186"/>
    <w:rPr>
      <w:rFonts w:asciiTheme="majorHAnsi" w:eastAsiaTheme="majorEastAsia" w:hAnsiTheme="majorHAnsi" w:cstheme="majorBidi"/>
      <w:color w:val="1F3763" w:themeColor="accent1" w:themeShade="7F"/>
      <w:sz w:val="24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2186"/>
    <w:rPr>
      <w:rFonts w:asciiTheme="majorHAnsi" w:eastAsiaTheme="majorEastAsia" w:hAnsiTheme="majorHAnsi" w:cstheme="majorBidi"/>
      <w:i/>
      <w:iCs/>
      <w:color w:val="1F3763" w:themeColor="accent1" w:themeShade="7F"/>
      <w:sz w:val="24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2186"/>
    <w:rPr>
      <w:rFonts w:asciiTheme="majorHAnsi" w:eastAsiaTheme="majorEastAsia" w:hAnsiTheme="majorHAnsi" w:cstheme="majorBidi"/>
      <w:i/>
      <w:iCs/>
      <w:color w:val="404040" w:themeColor="text1" w:themeTint="BF"/>
      <w:sz w:val="24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2186"/>
    <w:rPr>
      <w:rFonts w:asciiTheme="majorHAnsi" w:eastAsiaTheme="majorEastAsia" w:hAnsiTheme="majorHAnsi" w:cstheme="majorBidi"/>
      <w:color w:val="4472C4" w:themeColor="accent1"/>
      <w:sz w:val="20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218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472186"/>
    <w:pPr>
      <w:spacing w:before="120" w:after="120" w:line="360" w:lineRule="auto"/>
      <w:ind w:firstLine="720"/>
      <w:contextualSpacing/>
      <w:jc w:val="both"/>
    </w:pPr>
    <w:rPr>
      <w:rFonts w:ascii="Times New Roman" w:eastAsiaTheme="minorEastAsia" w:hAnsi="Times New Roman"/>
      <w:sz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043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232</Words>
  <Characters>1326</Characters>
  <Application>Microsoft Office Word</Application>
  <DocSecurity>0</DocSecurity>
  <Lines>11</Lines>
  <Paragraphs>3</Paragraphs>
  <ScaleCrop>false</ScaleCrop>
  <Company/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Casanova</dc:creator>
  <cp:keywords/>
  <dc:description/>
  <cp:lastModifiedBy>Julian Casanova</cp:lastModifiedBy>
  <cp:revision>1</cp:revision>
  <dcterms:created xsi:type="dcterms:W3CDTF">2026-08-08T00:35:00Z</dcterms:created>
  <dcterms:modified xsi:type="dcterms:W3CDTF">2026-08-08T00:35:00Z</dcterms:modified>
</cp:coreProperties>
</file>