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07B9F1" w14:textId="77777777" w:rsidR="001A102E" w:rsidRDefault="001A102E" w:rsidP="001A102E">
      <w:pPr>
        <w:pStyle w:val="Heading1"/>
        <w:numPr>
          <w:ilvl w:val="0"/>
          <w:numId w:val="0"/>
        </w:numPr>
        <w:spacing w:before="0"/>
        <w:ind w:left="432" w:hanging="432"/>
      </w:pPr>
      <w:r>
        <w:t>Felicidad Nacional Bruta: una mirada multidimensional al progreso</w:t>
      </w:r>
    </w:p>
    <w:p w14:paraId="7B751B87" w14:textId="77777777" w:rsidR="001A102E" w:rsidRDefault="001A102E" w:rsidP="001A102E">
      <w:pPr>
        <w:pStyle w:val="ListParagraph"/>
        <w:ind w:firstLine="0"/>
        <w:rPr>
          <w:rFonts w:cs="Times New Roman"/>
          <w:lang w:val="es-ES"/>
        </w:rPr>
      </w:pPr>
      <w:r>
        <w:rPr>
          <w:rFonts w:cs="Times New Roman"/>
          <w:lang w:val="es-ES"/>
        </w:rPr>
        <w:t xml:space="preserve">La Felicidad Nacional Bruta, creada en Bután, mide el progreso desde nueve dominios: nivel de vida, educación, salud, ambiente, vitalidad comunitaria, uso del tiempo, bienestar psicológico, buen gobierno y resiliencia cultural. Este visualizador adapta el índice a una lectura prospectiva hasta 2050: la trayectoria tendencial y las rutas alternativas que se abren si cambian las condiciones.</w:t>
      </w:r>
    </w:p>
    <w:p w14:paraId="56AE0719" w14:textId="77777777" w:rsidR="001A102E" w:rsidRDefault="001A102E" w:rsidP="001A102E">
      <w:pPr>
        <w:pStyle w:val="ListParagraph"/>
        <w:ind w:firstLine="0"/>
        <w:rPr>
          <w:rFonts w:cs="Times New Roman"/>
          <w:lang w:val="es-ES"/>
        </w:rPr>
      </w:pPr>
      <w:r>
        <w:rPr>
          <w:b/>
          <w:rFonts w:cs="Times New Roman"/>
          <w:lang w:val="es-ES"/>
        </w:rPr>
        <w:t xml:space="preserve">Cómo usar el visualizador. </w:t>
      </w:r>
      <w:r>
        <w:rPr>
          <w:rFonts w:cs="Times New Roman"/>
          <w:lang w:val="es-ES"/>
        </w:rPr>
        <w:t xml:space="preserve">Recorra las cuatro vistas: explore las series del índice y de sus componentes (enciéndalas o apáguelas desde la leyenda); abra los escenarios de un indicador y compare las rutas pesimista, tendencial y optimista hasta 2050; mire la estructura del índice en el radar por año y escenario; y enfrente hasta tres indicadores a la vez en el comparador. Pase el cursor sobre cada línea para leer su valor. Los escenarios alternativos se construyen con la variabilidad histórica de los componentes y no son proyecciones oficiales de Bután ni de entidades colombianas.</w:t>
      </w:r>
    </w:p>
    <w:p w14:paraId="558D005F" w14:textId="77777777" w:rsidR="00040768" w:rsidRPr="001A102E" w:rsidRDefault="00040768">
      <w:pPr>
        <w:rPr>
          <w:lang w:val="es-ES"/>
        </w:rPr>
      </w:pPr>
    </w:p>
    <w:sectPr w:rsidR="00040768" w:rsidRPr="001A102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9763A9"/>
    <w:multiLevelType w:val="multilevel"/>
    <w:tmpl w:val="E6CA5B9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102E"/>
    <w:rsid w:val="00040768"/>
    <w:rsid w:val="001A1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D410B"/>
  <w15:chartTrackingRefBased/>
  <w15:docId w15:val="{4AB9C40B-1083-4A58-8C77-3140B08C4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102E"/>
    <w:pPr>
      <w:keepNext/>
      <w:keepLines/>
      <w:numPr>
        <w:numId w:val="1"/>
      </w:numPr>
      <w:spacing w:before="480" w:after="0" w:line="276" w:lineRule="auto"/>
      <w:outlineLvl w:val="0"/>
    </w:pPr>
    <w:rPr>
      <w:rFonts w:ascii="Times New Roman" w:eastAsiaTheme="majorEastAsia" w:hAnsi="Times New Roman" w:cstheme="majorBidi"/>
      <w:b/>
      <w:bCs/>
      <w:sz w:val="28"/>
      <w:szCs w:val="28"/>
      <w:lang w:val="es-MX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102E"/>
    <w:pPr>
      <w:keepNext/>
      <w:keepLines/>
      <w:numPr>
        <w:ilvl w:val="1"/>
        <w:numId w:val="1"/>
      </w:numPr>
      <w:spacing w:before="200" w:after="0" w:line="276" w:lineRule="auto"/>
      <w:outlineLvl w:val="1"/>
    </w:pPr>
    <w:rPr>
      <w:rFonts w:ascii="Times New Roman" w:eastAsiaTheme="majorEastAsia" w:hAnsi="Times New Roman" w:cstheme="majorBidi"/>
      <w:b/>
      <w:bCs/>
      <w:color w:val="002060"/>
      <w:sz w:val="26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102E"/>
    <w:pPr>
      <w:keepNext/>
      <w:keepLines/>
      <w:numPr>
        <w:ilvl w:val="2"/>
        <w:numId w:val="1"/>
      </w:numPr>
      <w:spacing w:before="200" w:after="0" w:line="276" w:lineRule="auto"/>
      <w:outlineLvl w:val="2"/>
    </w:pPr>
    <w:rPr>
      <w:rFonts w:asciiTheme="majorHAnsi" w:eastAsiaTheme="majorEastAsia" w:hAnsiTheme="majorHAnsi" w:cstheme="majorBidi"/>
      <w:b/>
      <w:bCs/>
      <w:color w:val="4472C4" w:themeColor="accent1"/>
      <w:sz w:val="24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102E"/>
    <w:pPr>
      <w:keepNext/>
      <w:keepLines/>
      <w:numPr>
        <w:ilvl w:val="3"/>
        <w:numId w:val="1"/>
      </w:numPr>
      <w:spacing w:before="200" w:after="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  <w:sz w:val="24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102E"/>
    <w:pPr>
      <w:keepNext/>
      <w:keepLines/>
      <w:numPr>
        <w:ilvl w:val="4"/>
        <w:numId w:val="1"/>
      </w:numPr>
      <w:spacing w:before="200" w:after="0" w:line="276" w:lineRule="auto"/>
      <w:outlineLvl w:val="4"/>
    </w:pPr>
    <w:rPr>
      <w:rFonts w:asciiTheme="majorHAnsi" w:eastAsiaTheme="majorEastAsia" w:hAnsiTheme="majorHAnsi" w:cstheme="majorBidi"/>
      <w:color w:val="1F3763" w:themeColor="accent1" w:themeShade="7F"/>
      <w:sz w:val="24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102E"/>
    <w:pPr>
      <w:keepNext/>
      <w:keepLines/>
      <w:numPr>
        <w:ilvl w:val="5"/>
        <w:numId w:val="1"/>
      </w:numPr>
      <w:spacing w:before="200" w:after="0" w:line="276" w:lineRule="auto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  <w:sz w:val="24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102E"/>
    <w:pPr>
      <w:keepNext/>
      <w:keepLines/>
      <w:numPr>
        <w:ilvl w:val="6"/>
        <w:numId w:val="1"/>
      </w:numPr>
      <w:spacing w:before="200" w:after="0" w:line="276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4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102E"/>
    <w:pPr>
      <w:keepNext/>
      <w:keepLines/>
      <w:numPr>
        <w:ilvl w:val="7"/>
        <w:numId w:val="1"/>
      </w:numPr>
      <w:spacing w:before="200" w:after="0" w:line="276" w:lineRule="auto"/>
      <w:outlineLvl w:val="7"/>
    </w:pPr>
    <w:rPr>
      <w:rFonts w:asciiTheme="majorHAnsi" w:eastAsiaTheme="majorEastAsia" w:hAnsiTheme="majorHAnsi" w:cstheme="majorBidi"/>
      <w:color w:val="4472C4" w:themeColor="accent1"/>
      <w:sz w:val="20"/>
      <w:szCs w:val="20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102E"/>
    <w:pPr>
      <w:keepNext/>
      <w:keepLines/>
      <w:numPr>
        <w:ilvl w:val="8"/>
        <w:numId w:val="1"/>
      </w:numPr>
      <w:spacing w:before="200" w:after="0" w:line="276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102E"/>
    <w:rPr>
      <w:rFonts w:ascii="Times New Roman" w:eastAsiaTheme="majorEastAsia" w:hAnsi="Times New Roman" w:cstheme="majorBidi"/>
      <w:b/>
      <w:bCs/>
      <w:sz w:val="28"/>
      <w:szCs w:val="28"/>
      <w:lang w:val="es-MX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102E"/>
    <w:rPr>
      <w:rFonts w:ascii="Times New Roman" w:eastAsiaTheme="majorEastAsia" w:hAnsi="Times New Roman" w:cstheme="majorBidi"/>
      <w:b/>
      <w:bCs/>
      <w:color w:val="002060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102E"/>
    <w:rPr>
      <w:rFonts w:asciiTheme="majorHAnsi" w:eastAsiaTheme="majorEastAsia" w:hAnsiTheme="majorHAnsi" w:cstheme="majorBidi"/>
      <w:b/>
      <w:bCs/>
      <w:color w:val="4472C4" w:themeColor="accent1"/>
      <w:sz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102E"/>
    <w:rPr>
      <w:rFonts w:asciiTheme="majorHAnsi" w:eastAsiaTheme="majorEastAsia" w:hAnsiTheme="majorHAnsi" w:cstheme="majorBidi"/>
      <w:b/>
      <w:bCs/>
      <w:i/>
      <w:iCs/>
      <w:color w:val="4472C4" w:themeColor="accent1"/>
      <w:sz w:val="24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102E"/>
    <w:rPr>
      <w:rFonts w:asciiTheme="majorHAnsi" w:eastAsiaTheme="majorEastAsia" w:hAnsiTheme="majorHAnsi" w:cstheme="majorBidi"/>
      <w:color w:val="1F3763" w:themeColor="accent1" w:themeShade="7F"/>
      <w:sz w:val="24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102E"/>
    <w:rPr>
      <w:rFonts w:asciiTheme="majorHAnsi" w:eastAsiaTheme="majorEastAsia" w:hAnsiTheme="majorHAnsi" w:cstheme="majorBidi"/>
      <w:i/>
      <w:iCs/>
      <w:color w:val="1F3763" w:themeColor="accent1" w:themeShade="7F"/>
      <w:sz w:val="24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102E"/>
    <w:rPr>
      <w:rFonts w:asciiTheme="majorHAnsi" w:eastAsiaTheme="majorEastAsia" w:hAnsiTheme="majorHAnsi" w:cstheme="majorBidi"/>
      <w:i/>
      <w:iCs/>
      <w:color w:val="404040" w:themeColor="text1" w:themeTint="BF"/>
      <w:sz w:val="24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102E"/>
    <w:rPr>
      <w:rFonts w:asciiTheme="majorHAnsi" w:eastAsiaTheme="majorEastAsia" w:hAnsiTheme="majorHAnsi" w:cstheme="majorBidi"/>
      <w:color w:val="4472C4" w:themeColor="accent1"/>
      <w:sz w:val="20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102E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1A102E"/>
    <w:pPr>
      <w:spacing w:before="120" w:after="120" w:line="360" w:lineRule="auto"/>
      <w:ind w:firstLine="720"/>
      <w:contextualSpacing/>
      <w:jc w:val="both"/>
    </w:pPr>
    <w:rPr>
      <w:rFonts w:ascii="Times New Roman" w:eastAsiaTheme="minorEastAsia" w:hAnsi="Times New Roman"/>
      <w:sz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551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226</Words>
  <Characters>1289</Characters>
  <Application>Microsoft Office Word</Application>
  <DocSecurity>0</DocSecurity>
  <Lines>10</Lines>
  <Paragraphs>3</Paragraphs>
  <ScaleCrop>false</ScaleCrop>
  <Company/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Casanova</dc:creator>
  <cp:keywords/>
  <dc:description/>
  <cp:lastModifiedBy>Julian Casanova</cp:lastModifiedBy>
  <cp:revision>1</cp:revision>
  <dcterms:created xsi:type="dcterms:W3CDTF">2026-08-07T22:22:00Z</dcterms:created>
  <dcterms:modified xsi:type="dcterms:W3CDTF">2026-08-07T22:23:00Z</dcterms:modified>
</cp:coreProperties>
</file>