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03B5" w14:textId="3BFC6C77" w:rsidR="009A51B8" w:rsidRPr="009A51B8" w:rsidRDefault="009A51B8" w:rsidP="009A51B8">
      <w:pPr>
        <w:spacing w:after="0" w:line="360" w:lineRule="auto"/>
        <w:jc w:val="center"/>
        <w:rPr>
          <w:rFonts w:cs="Times New Roman"/>
          <w:b/>
          <w:bCs/>
          <w:iCs/>
          <w:sz w:val="28"/>
          <w:szCs w:val="28"/>
          <w:lang w:val="es-ES"/>
        </w:rPr>
      </w:pPr>
      <w:r w:rsidRPr="009A51B8">
        <w:rPr>
          <w:rFonts w:cs="Times New Roman"/>
          <w:b/>
          <w:bCs/>
          <w:iCs/>
          <w:sz w:val="28"/>
          <w:szCs w:val="28"/>
          <w:lang w:val="es-ES"/>
        </w:rPr>
        <w:t>Resumen de indicadores Observatorio: julio-2026</w:t>
      </w:r>
    </w:p>
    <w:p w14:paraId="5D226954" w14:textId="64D89528" w:rsidR="009A51B8" w:rsidRPr="009A51B8" w:rsidRDefault="009A51B8" w:rsidP="009A51B8">
      <w:pPr>
        <w:spacing w:after="0" w:line="360" w:lineRule="auto"/>
        <w:jc w:val="center"/>
        <w:rPr>
          <w:rFonts w:cs="Times New Roman"/>
          <w:i/>
          <w:sz w:val="32"/>
          <w:szCs w:val="28"/>
          <w:lang w:val="es-ES"/>
        </w:rPr>
      </w:pPr>
      <w:r w:rsidRPr="009A51B8">
        <w:rPr>
          <w:rFonts w:cs="Times New Roman"/>
          <w:i/>
          <w:sz w:val="28"/>
          <w:szCs w:val="28"/>
          <w:lang w:val="es-ES"/>
        </w:rPr>
        <w:t>Bienestar comparado, felicidad, capital humano, ambiente y vida digital</w:t>
      </w:r>
    </w:p>
    <w:p w14:paraId="05F68394" w14:textId="77777777" w:rsidR="009A51B8" w:rsidRPr="009A51B8" w:rsidRDefault="009A51B8" w:rsidP="00CD5928">
      <w:pPr>
        <w:rPr>
          <w:rFonts w:cs="Times New Roman"/>
          <w:lang w:val="es-ES"/>
        </w:rPr>
      </w:pPr>
    </w:p>
    <w:p w14:paraId="4D140916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t xml:space="preserve">El bienestar integral ya no puede observarse únicamente a través del ingreso, el empleo o el crecimiento económico. Su análisis contemporáneo incorpora la calidad de las condiciones de vida, la acumulación de capacidades humanas, la sostenibilidad ambiental, la participación en el entorno digital y las dimensiones sociales y subjetivas del progreso. En ese marco, el Índice para una Vida Mejor de la OCDE, la Felicidad Nacional Bruta de Bután, el Human Capital </w:t>
      </w:r>
      <w:proofErr w:type="spellStart"/>
      <w:r w:rsidRPr="009A51B8">
        <w:rPr>
          <w:rFonts w:cs="Times New Roman"/>
          <w:lang w:val="es-ES"/>
        </w:rPr>
        <w:t>Index</w:t>
      </w:r>
      <w:proofErr w:type="spellEnd"/>
      <w:r w:rsidRPr="009A51B8">
        <w:rPr>
          <w:rFonts w:cs="Times New Roman"/>
          <w:lang w:val="es-ES"/>
        </w:rPr>
        <w:t xml:space="preserve"> del Banco Mundial, el </w:t>
      </w:r>
      <w:proofErr w:type="spellStart"/>
      <w:r w:rsidRPr="009A51B8">
        <w:rPr>
          <w:rFonts w:cs="Times New Roman"/>
          <w:lang w:val="es-ES"/>
        </w:rPr>
        <w:t>Environmental</w:t>
      </w:r>
      <w:proofErr w:type="spellEnd"/>
      <w:r w:rsidRPr="009A51B8">
        <w:rPr>
          <w:rFonts w:cs="Times New Roman"/>
          <w:lang w:val="es-ES"/>
        </w:rPr>
        <w:t xml:space="preserve"> Performance </w:t>
      </w:r>
      <w:proofErr w:type="spellStart"/>
      <w:r w:rsidRPr="009A51B8">
        <w:rPr>
          <w:rFonts w:cs="Times New Roman"/>
          <w:lang w:val="es-ES"/>
        </w:rPr>
        <w:t>Index</w:t>
      </w:r>
      <w:proofErr w:type="spellEnd"/>
      <w:r w:rsidRPr="009A51B8">
        <w:rPr>
          <w:rFonts w:cs="Times New Roman"/>
          <w:lang w:val="es-ES"/>
        </w:rPr>
        <w:t xml:space="preserve"> y el Digital </w:t>
      </w:r>
      <w:proofErr w:type="spellStart"/>
      <w:r w:rsidRPr="009A51B8">
        <w:rPr>
          <w:rFonts w:cs="Times New Roman"/>
          <w:lang w:val="es-ES"/>
        </w:rPr>
        <w:t>Quality</w:t>
      </w:r>
      <w:proofErr w:type="spellEnd"/>
      <w:r w:rsidRPr="009A51B8">
        <w:rPr>
          <w:rFonts w:cs="Times New Roman"/>
          <w:lang w:val="es-ES"/>
        </w:rPr>
        <w:t xml:space="preserve"> </w:t>
      </w:r>
      <w:proofErr w:type="spellStart"/>
      <w:r w:rsidRPr="009A51B8">
        <w:rPr>
          <w:rFonts w:cs="Times New Roman"/>
          <w:lang w:val="es-ES"/>
        </w:rPr>
        <w:t>of</w:t>
      </w:r>
      <w:proofErr w:type="spellEnd"/>
      <w:r w:rsidRPr="009A51B8">
        <w:rPr>
          <w:rFonts w:cs="Times New Roman"/>
          <w:lang w:val="es-ES"/>
        </w:rPr>
        <w:t xml:space="preserve"> Life </w:t>
      </w:r>
      <w:proofErr w:type="spellStart"/>
      <w:r w:rsidRPr="009A51B8">
        <w:rPr>
          <w:rFonts w:cs="Times New Roman"/>
          <w:lang w:val="es-ES"/>
        </w:rPr>
        <w:t>Index</w:t>
      </w:r>
      <w:proofErr w:type="spellEnd"/>
      <w:r w:rsidRPr="009A51B8">
        <w:rPr>
          <w:rFonts w:cs="Times New Roman"/>
          <w:lang w:val="es-ES"/>
        </w:rPr>
        <w:t xml:space="preserve"> ofrecen perspectivas complementarias para examinar cómo se configuran las oportunidades de bienestar en el tiempo.</w:t>
      </w:r>
    </w:p>
    <w:p w14:paraId="14AD6FEE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t>La lectura prospectiva de estos indicadores permite distinguir entre el dato observado y las trayectorias que podrían configurarse bajo diferentes supuestos. Por ello, las figuras siguientes separan periodos históricos, puntos de referencia y escenarios futuros, haciendo visible la incertidumbre que acompaña toda proyección. Las líneas centrales representan la trayectoria prevista en cada modelo, mientras las bandas, corredores o simulaciones expresan rutas alternativas asociadas con cambios institucionales, económicos, tecnológicos, ambientales y sociales.</w:t>
      </w:r>
    </w:p>
    <w:p w14:paraId="5CABB641" w14:textId="77777777" w:rsidR="000D11B9" w:rsidRPr="009A51B8" w:rsidRDefault="00000000">
      <w:pPr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br w:type="page"/>
      </w:r>
    </w:p>
    <w:p w14:paraId="427BCFAD" w14:textId="77777777" w:rsidR="000D11B9" w:rsidRPr="009A51B8" w:rsidRDefault="00000000" w:rsidP="009A51B8">
      <w:pPr>
        <w:pStyle w:val="Ttulo1"/>
      </w:pPr>
      <w:r w:rsidRPr="009A51B8">
        <w:lastRenderedPageBreak/>
        <w:t>Índice para una Vida Mejor: el bienestar observado desde múltiples dimensiones</w:t>
      </w:r>
    </w:p>
    <w:p w14:paraId="22DB078D" w14:textId="0F319993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El Índice para una Vida Mejor de la OCDE mide el bienestar más allá del ingreso: vivienda, empleo, educación, salud, ambiente, seguridad, comunidad, participación cívica y satisfacción con la vida. Este visualizador lo lleva a clave prospectiva: un puntaje agregado y ocho indicadores comparables por país, con la historia observada y la trayectoria que cada uno podría seguir bajo tres escenarios.</w:t>
      </w:r>
    </w:p>
    <w:p w14:paraId="494C0DD5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b/>
          <w:rFonts w:cs="Times New Roman"/>
          <w:lang w:val="es-ES"/>
        </w:rPr>
        <w:t xml:space="preserve">Cómo usar el visualizador. </w:t>
      </w:r>
      <w:r>
        <w:rPr>
          <w:rFonts w:cs="Times New Roman"/>
          <w:lang w:val="es-ES"/>
        </w:rPr>
        <w:t xml:space="preserve">Elija una de las dos vistas. En Evolución en el ranking, compare a Colombia con el país que prefiera y siga su posición año a año; en Escenarios por indicador, escoja país e indicador y vea el abanico optimista, tendencial y restrictivo junto a sus cifras clave. Pase el cursor sobre las líneas para leer cada valor y use la leyenda para mostrar u ocultar series.</w:t>
      </w:r>
    </w:p>
    <w:p w14:paraId="07CB9AA7" w14:textId="3AFF3151" w:rsidR="000D11B9" w:rsidRPr="009A51B8" w:rsidRDefault="00CD5928" w:rsidP="00CD5928">
      <w:pPr>
        <w:pStyle w:val="Descripcin"/>
        <w:rPr>
          <w:rFonts w:cs="Times New Roman"/>
        </w:rPr>
      </w:pPr>
      <w:r w:rsidRPr="009A51B8">
        <w:rPr>
          <w:rFonts w:cs="Times New Roman"/>
          <w:b/>
          <w:bCs w:val="0"/>
          <w:i w:val="0"/>
          <w:iCs/>
        </w:rPr>
        <w:t xml:space="preserve">Figura </w:t>
      </w:r>
      <w:r w:rsidRPr="009A51B8">
        <w:rPr>
          <w:rFonts w:cs="Times New Roman"/>
          <w:b/>
          <w:bCs w:val="0"/>
          <w:i w:val="0"/>
          <w:iCs/>
        </w:rPr>
        <w:fldChar w:fldCharType="begin"/>
      </w:r>
      <w:r w:rsidRPr="009A51B8">
        <w:rPr>
          <w:rFonts w:cs="Times New Roman"/>
          <w:b/>
          <w:bCs w:val="0"/>
          <w:i w:val="0"/>
          <w:iCs/>
        </w:rPr>
        <w:instrText xml:space="preserve"> SEQ Figura \* ARABIC </w:instrText>
      </w:r>
      <w:r w:rsidRPr="009A51B8">
        <w:rPr>
          <w:rFonts w:cs="Times New Roman"/>
          <w:b/>
          <w:bCs w:val="0"/>
          <w:i w:val="0"/>
          <w:iCs/>
        </w:rPr>
        <w:fldChar w:fldCharType="separate"/>
      </w:r>
      <w:r w:rsidRPr="009A51B8">
        <w:rPr>
          <w:rFonts w:cs="Times New Roman"/>
          <w:b/>
          <w:bCs w:val="0"/>
          <w:i w:val="0"/>
          <w:iCs/>
          <w:noProof/>
        </w:rPr>
        <w:t>1</w:t>
      </w:r>
      <w:r w:rsidRPr="009A51B8">
        <w:rPr>
          <w:rFonts w:cs="Times New Roman"/>
          <w:b/>
          <w:bCs w:val="0"/>
          <w:i w:val="0"/>
          <w:iCs/>
        </w:rPr>
        <w:fldChar w:fldCharType="end"/>
      </w:r>
      <w:r w:rsidRPr="009A51B8">
        <w:rPr>
          <w:rFonts w:cs="Times New Roman"/>
          <w:b/>
          <w:bCs w:val="0"/>
          <w:i w:val="0"/>
          <w:iCs/>
        </w:rPr>
        <w:t>.</w:t>
      </w:r>
      <w:r w:rsidRPr="009A51B8">
        <w:rPr>
          <w:rFonts w:cs="Times New Roman"/>
          <w:b/>
          <w:bCs w:val="0"/>
          <w:i w:val="0"/>
          <w:iCs/>
        </w:rPr>
        <w:br/>
      </w:r>
      <w:r w:rsidRPr="009A51B8">
        <w:rPr>
          <w:rFonts w:cs="Times New Roman"/>
        </w:rPr>
        <w:t>Evolución de la posición de Colombia y países seleccionados en el ranking OCDE,</w:t>
      </w:r>
    </w:p>
    <w:p w14:paraId="28F8B6A3" w14:textId="77777777" w:rsidR="000D11B9" w:rsidRPr="009A51B8" w:rsidRDefault="00000000" w:rsidP="00CD5928">
      <w:pPr>
        <w:pStyle w:val="Sinespaciado"/>
        <w:rPr>
          <w:rFonts w:ascii="Times New Roman" w:hAnsi="Times New Roman" w:cs="Times New Roman"/>
          <w:lang w:val="es-ES"/>
        </w:rPr>
      </w:pPr>
      <w:r w:rsidRPr="009A51B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3F4DFDB" wp14:editId="53CA426D">
            <wp:extent cx="5415787" cy="160010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plot(3).png"/>
                    <pic:cNvPicPr/>
                  </pic:nvPicPr>
                  <pic:blipFill rotWithShape="1">
                    <a:blip r:embed="rId8"/>
                    <a:srcRect t="17273"/>
                    <a:stretch/>
                  </pic:blipFill>
                  <pic:spPr bwMode="auto">
                    <a:xfrm>
                      <a:off x="0" y="0"/>
                      <a:ext cx="5425338" cy="1602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34701" w14:textId="77777777" w:rsidR="000D11B9" w:rsidRPr="009A51B8" w:rsidRDefault="00000000" w:rsidP="00CD5928">
      <w:pPr>
        <w:pStyle w:val="Notaalpie"/>
        <w:rPr>
          <w:rFonts w:cs="Times New Roman"/>
          <w:lang w:val="es-ES"/>
        </w:rPr>
      </w:pPr>
      <w:r w:rsidRPr="009A51B8">
        <w:rPr>
          <w:rFonts w:cs="Times New Roman"/>
          <w:i/>
          <w:lang w:val="es-ES"/>
        </w:rPr>
        <w:t xml:space="preserve">Nota. </w:t>
      </w:r>
      <w:r w:rsidRPr="009A51B8">
        <w:rPr>
          <w:rFonts w:cs="Times New Roman"/>
          <w:lang w:val="es-ES"/>
        </w:rPr>
        <w:t>La línea verde corresponde a Colombia y las líneas azules representan a Chile, México y Costa Rica. El eje vertical está invertido, por lo que el valor 1 identifica la mejor posición. La línea punteada marca el tránsito entre la serie histórica y la proyección desde 2026; la figura muestra el escenario tendencial seleccionado en el visualizador. Elaboración propia con base en la matriz comparativa del Índice para una Vida Mejor de la OCDE.</w:t>
      </w:r>
    </w:p>
    <w:p w14:paraId="55C05CB6" w14:textId="6755260F" w:rsidR="000D11B9" w:rsidRPr="009A51B8" w:rsidRDefault="00000000" w:rsidP="009A51B8">
      <w:pPr>
        <w:pStyle w:val="Ttulo1"/>
        <w:spacing w:before="0"/>
      </w:pPr>
      <w:r w:rsidRPr="009A51B8">
        <w:br w:type="page"/>
      </w:r>
      <w:r w:rsidRPr="009A51B8">
        <w:lastRenderedPageBreak/>
        <w:t>Felicidad Nacional Bruta: una mirada multidimensional al progreso</w:t>
      </w:r>
    </w:p>
    <w:p w14:paraId="4FB18390" w14:textId="6ACD23D3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La Felicidad Nacional Bruta, creada en Bután, mide el progreso desde nueve dominios: nivel de vida, educación, salud, ambiente, vitalidad comunitaria, uso del tiempo, bienestar psicológico, buen gobierno y resiliencia cultural. Este visualizador adapta el índice a una lectura prospectiva hasta 2050: la trayectoria tendencial y las rutas alternativas que se abren si cambian las condiciones.</w:t>
      </w:r>
    </w:p>
    <w:p w14:paraId="728BFD7B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b/>
          <w:rFonts w:cs="Times New Roman"/>
          <w:lang w:val="es-ES"/>
        </w:rPr>
        <w:t xml:space="preserve">Cómo usar el visualizador. </w:t>
      </w:r>
      <w:r>
        <w:rPr>
          <w:rFonts w:cs="Times New Roman"/>
          <w:lang w:val="es-ES"/>
        </w:rPr>
        <w:t xml:space="preserve">Recorra las cuatro vistas: explore las series del índice y de sus componentes (enciéndalas o apáguelas desde la leyenda); abra los escenarios de un indicador y compare las rutas pesimista, tendencial y optimista hasta 2050; mire la estructura del índice en el radar por año y escenario; y enfrente hasta tres indicadores a la vez en el comparador. Pase el cursor sobre cada línea para leer su valor. Los escenarios alternativos se construyen con la variabilidad histórica de los componentes y no son proyecciones oficiales de Bután ni de entidades colombianas.</w:t>
      </w:r>
    </w:p>
    <w:p w14:paraId="2A58EB64" w14:textId="0C65E381" w:rsidR="000D11B9" w:rsidRPr="009A51B8" w:rsidRDefault="00CD5928" w:rsidP="00CD5928">
      <w:pPr>
        <w:pStyle w:val="Descripcin"/>
        <w:rPr>
          <w:rFonts w:cs="Times New Roman"/>
        </w:rPr>
      </w:pPr>
      <w:r w:rsidRPr="009A51B8">
        <w:rPr>
          <w:rFonts w:cs="Times New Roman"/>
          <w:b/>
          <w:bCs w:val="0"/>
          <w:i w:val="0"/>
          <w:iCs/>
        </w:rPr>
        <w:t xml:space="preserve">Figura </w:t>
      </w:r>
      <w:r w:rsidRPr="009A51B8">
        <w:rPr>
          <w:rFonts w:cs="Times New Roman"/>
          <w:b/>
          <w:bCs w:val="0"/>
          <w:i w:val="0"/>
          <w:iCs/>
        </w:rPr>
        <w:fldChar w:fldCharType="begin"/>
      </w:r>
      <w:r w:rsidRPr="009A51B8">
        <w:rPr>
          <w:rFonts w:cs="Times New Roman"/>
          <w:b/>
          <w:bCs w:val="0"/>
          <w:i w:val="0"/>
          <w:iCs/>
        </w:rPr>
        <w:instrText xml:space="preserve"> SEQ Figura \* ARABIC </w:instrText>
      </w:r>
      <w:r w:rsidRPr="009A51B8">
        <w:rPr>
          <w:rFonts w:cs="Times New Roman"/>
          <w:b/>
          <w:bCs w:val="0"/>
          <w:i w:val="0"/>
          <w:iCs/>
        </w:rPr>
        <w:fldChar w:fldCharType="separate"/>
      </w:r>
      <w:r w:rsidRPr="009A51B8">
        <w:rPr>
          <w:rFonts w:cs="Times New Roman"/>
          <w:b/>
          <w:bCs w:val="0"/>
          <w:i w:val="0"/>
          <w:iCs/>
          <w:noProof/>
        </w:rPr>
        <w:t>2</w:t>
      </w:r>
      <w:r w:rsidRPr="009A51B8">
        <w:rPr>
          <w:rFonts w:cs="Times New Roman"/>
          <w:b/>
          <w:bCs w:val="0"/>
          <w:i w:val="0"/>
          <w:iCs/>
        </w:rPr>
        <w:fldChar w:fldCharType="end"/>
      </w:r>
      <w:r w:rsidRPr="009A51B8">
        <w:rPr>
          <w:rFonts w:cs="Times New Roman"/>
          <w:b/>
          <w:bCs w:val="0"/>
          <w:i w:val="0"/>
          <w:iCs/>
        </w:rPr>
        <w:t>.</w:t>
      </w:r>
      <w:r w:rsidRPr="009A51B8">
        <w:rPr>
          <w:rFonts w:cs="Times New Roman"/>
        </w:rPr>
        <w:br/>
        <w:t xml:space="preserve">Trayectorias del índice </w:t>
      </w:r>
      <w:proofErr w:type="spellStart"/>
      <w:r w:rsidRPr="009A51B8">
        <w:rPr>
          <w:rFonts w:cs="Times New Roman"/>
        </w:rPr>
        <w:t>FNB</w:t>
      </w:r>
      <w:proofErr w:type="spellEnd"/>
      <w:r w:rsidRPr="009A51B8">
        <w:rPr>
          <w:rFonts w:cs="Times New Roman"/>
        </w:rPr>
        <w:t xml:space="preserve"> adaptado y sus componentes</w:t>
      </w:r>
    </w:p>
    <w:p w14:paraId="304B2D60" w14:textId="77777777" w:rsidR="000D11B9" w:rsidRPr="009A51B8" w:rsidRDefault="00000000" w:rsidP="00CD5928">
      <w:pPr>
        <w:pStyle w:val="Sinespaciado"/>
        <w:rPr>
          <w:rFonts w:ascii="Times New Roman" w:hAnsi="Times New Roman" w:cs="Times New Roman"/>
          <w:lang w:val="es-ES"/>
        </w:rPr>
      </w:pPr>
      <w:r w:rsidRPr="009A51B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B06222B" wp14:editId="59B8C7D7">
            <wp:extent cx="5896610" cy="2491016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9"/>
                    <a:srcRect t="8974" b="17684"/>
                    <a:stretch/>
                  </pic:blipFill>
                  <pic:spPr bwMode="auto">
                    <a:xfrm>
                      <a:off x="0" y="0"/>
                      <a:ext cx="5897880" cy="249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891BE" w14:textId="0080220E" w:rsidR="000D11B9" w:rsidRPr="009A51B8" w:rsidRDefault="00000000" w:rsidP="00CD5928">
      <w:pPr>
        <w:pStyle w:val="Notaalpie"/>
        <w:rPr>
          <w:rFonts w:cs="Times New Roman"/>
          <w:lang w:val="es-ES"/>
        </w:rPr>
      </w:pPr>
      <w:r w:rsidRPr="009A51B8">
        <w:rPr>
          <w:rFonts w:cs="Times New Roman"/>
          <w:i/>
          <w:lang w:val="es-ES"/>
        </w:rPr>
        <w:t xml:space="preserve">Nota. </w:t>
      </w:r>
      <w:r w:rsidRPr="009A51B8">
        <w:rPr>
          <w:rFonts w:cs="Times New Roman"/>
          <w:lang w:val="es-ES"/>
        </w:rPr>
        <w:t xml:space="preserve">La figura combina valores históricos de 2015–2025 con trayectorias tendenciales para 2026–2050. Las líneas punteadas identifican el escenario central y las líneas continuas muestran la trayectoria activa del explorador. El índice </w:t>
      </w:r>
      <w:proofErr w:type="spellStart"/>
      <w:r w:rsidRPr="009A51B8">
        <w:rPr>
          <w:rFonts w:cs="Times New Roman"/>
          <w:lang w:val="es-ES"/>
        </w:rPr>
        <w:t>FNB</w:t>
      </w:r>
      <w:proofErr w:type="spellEnd"/>
      <w:r w:rsidRPr="009A51B8">
        <w:rPr>
          <w:rFonts w:cs="Times New Roman"/>
          <w:lang w:val="es-ES"/>
        </w:rPr>
        <w:t xml:space="preserve"> adaptado se calcula en la base como promedio de cinco componentes relacionados con salud, educación, resiliencia ecológica y nivel de vida. Esta adaptación analítica no corresponde a una medición oficial del Gobierno de Bután. </w:t>
      </w:r>
    </w:p>
    <w:p w14:paraId="7C9C0601" w14:textId="77777777" w:rsidR="000D11B9" w:rsidRPr="009A51B8" w:rsidRDefault="00000000">
      <w:pPr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br w:type="page"/>
      </w:r>
    </w:p>
    <w:p w14:paraId="089F485B" w14:textId="77777777" w:rsidR="000D11B9" w:rsidRPr="009A51B8" w:rsidRDefault="00000000" w:rsidP="009A51B8">
      <w:pPr>
        <w:pStyle w:val="Ttulo1"/>
      </w:pPr>
      <w:r w:rsidRPr="009A51B8">
        <w:lastRenderedPageBreak/>
        <w:t>Capital humano: capacidades acumuladas a lo largo del ciclo de vida</w:t>
      </w:r>
    </w:p>
    <w:p w14:paraId="61A7856D" w14:textId="058C74A2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El Índice de Capital Humano del Banco Mundial resume, en una escala de 0 a 1, cuánto capital humano puede alcanzar un niño nacido hoy gracias a su salud y su educación. Este visualizador amplía esa lectura con los componentes del índice extendido (HCI+): educación, empleo y aprendizaje continuo, salud y nutrición, brechas de género y distancia frente al máximo, con escenarios de futuro para Colombia y los países disponibles.</w:t>
      </w:r>
    </w:p>
    <w:p w14:paraId="61471961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b/>
          <w:rFonts w:cs="Times New Roman"/>
          <w:lang w:val="es-ES"/>
        </w:rPr>
        <w:t xml:space="preserve">Cómo usar el visualizador. </w:t>
      </w:r>
      <w:r>
        <w:rPr>
          <w:rFonts w:cs="Times New Roman"/>
          <w:lang w:val="es-ES"/>
        </w:rPr>
        <w:t xml:space="preserve">Elija en el desplegable el indicador que quiere seguir (índice equivalente, índice tradicional, brecha de género, brecha frente al máximo o cualquiera de los componentes) y observe su historia junto a los tres escenarios prospectivos. Active o apague escenarios desde la leyenda y pase el cursor sobre cada punto para leer año, valor y tipo de dato.</w:t>
      </w:r>
    </w:p>
    <w:p w14:paraId="0D6C015E" w14:textId="7DBDAAA3" w:rsidR="000D11B9" w:rsidRPr="009A51B8" w:rsidRDefault="00CD5928" w:rsidP="00CD5928">
      <w:pPr>
        <w:pStyle w:val="Descripcin"/>
        <w:rPr>
          <w:rFonts w:cs="Times New Roman"/>
        </w:rPr>
      </w:pPr>
      <w:r w:rsidRPr="009A51B8">
        <w:rPr>
          <w:rFonts w:cs="Times New Roman"/>
          <w:b/>
          <w:bCs w:val="0"/>
          <w:i w:val="0"/>
          <w:iCs/>
        </w:rPr>
        <w:t xml:space="preserve">Figura </w:t>
      </w:r>
      <w:r w:rsidRPr="009A51B8">
        <w:rPr>
          <w:rFonts w:cs="Times New Roman"/>
          <w:b/>
          <w:bCs w:val="0"/>
          <w:i w:val="0"/>
          <w:iCs/>
        </w:rPr>
        <w:fldChar w:fldCharType="begin"/>
      </w:r>
      <w:r w:rsidRPr="009A51B8">
        <w:rPr>
          <w:rFonts w:cs="Times New Roman"/>
          <w:b/>
          <w:bCs w:val="0"/>
          <w:i w:val="0"/>
          <w:iCs/>
        </w:rPr>
        <w:instrText xml:space="preserve"> SEQ Figura \* ARABIC </w:instrText>
      </w:r>
      <w:r w:rsidRPr="009A51B8">
        <w:rPr>
          <w:rFonts w:cs="Times New Roman"/>
          <w:b/>
          <w:bCs w:val="0"/>
          <w:i w:val="0"/>
          <w:iCs/>
        </w:rPr>
        <w:fldChar w:fldCharType="separate"/>
      </w:r>
      <w:r w:rsidRPr="009A51B8">
        <w:rPr>
          <w:rFonts w:cs="Times New Roman"/>
          <w:b/>
          <w:bCs w:val="0"/>
          <w:i w:val="0"/>
          <w:iCs/>
          <w:noProof/>
        </w:rPr>
        <w:t>3</w:t>
      </w:r>
      <w:r w:rsidRPr="009A51B8">
        <w:rPr>
          <w:rFonts w:cs="Times New Roman"/>
          <w:b/>
          <w:bCs w:val="0"/>
          <w:i w:val="0"/>
          <w:iCs/>
        </w:rPr>
        <w:fldChar w:fldCharType="end"/>
      </w:r>
      <w:r w:rsidRPr="009A51B8">
        <w:rPr>
          <w:rFonts w:cs="Times New Roman"/>
          <w:b/>
          <w:bCs w:val="0"/>
          <w:i w:val="0"/>
          <w:iCs/>
        </w:rPr>
        <w:t>.</w:t>
      </w:r>
      <w:r w:rsidRPr="009A51B8">
        <w:rPr>
          <w:rFonts w:cs="Times New Roman"/>
        </w:rPr>
        <w:br/>
        <w:t>Escenarios prospectivos de la brecha de género en capital humano</w:t>
      </w:r>
    </w:p>
    <w:p w14:paraId="037D2B20" w14:textId="77777777" w:rsidR="000D11B9" w:rsidRPr="009A51B8" w:rsidRDefault="00000000">
      <w:pPr>
        <w:keepNext/>
        <w:spacing w:after="0"/>
        <w:jc w:val="center"/>
        <w:rPr>
          <w:rFonts w:cs="Times New Roman"/>
          <w:lang w:val="es-ES"/>
        </w:rPr>
      </w:pPr>
      <w:r w:rsidRPr="009A51B8">
        <w:rPr>
          <w:rFonts w:cs="Times New Roman"/>
          <w:noProof/>
          <w:lang w:val="es-ES"/>
        </w:rPr>
        <w:drawing>
          <wp:inline distT="0" distB="0" distL="0" distR="0" wp14:anchorId="2D04DC55" wp14:editId="648E66DA">
            <wp:extent cx="5896615" cy="203634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scenarios.png"/>
                    <pic:cNvPicPr/>
                  </pic:nvPicPr>
                  <pic:blipFill rotWithShape="1">
                    <a:blip r:embed="rId10"/>
                    <a:srcRect t="18046"/>
                    <a:stretch/>
                  </pic:blipFill>
                  <pic:spPr bwMode="auto">
                    <a:xfrm>
                      <a:off x="0" y="0"/>
                      <a:ext cx="5897880" cy="203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1209" w14:textId="37490C80" w:rsidR="000D11B9" w:rsidRPr="009A51B8" w:rsidRDefault="00000000" w:rsidP="00CD5928">
      <w:pPr>
        <w:pStyle w:val="Notaalpie"/>
        <w:rPr>
          <w:rFonts w:cs="Times New Roman"/>
          <w:lang w:val="es-ES"/>
        </w:rPr>
      </w:pPr>
      <w:r w:rsidRPr="009A51B8">
        <w:rPr>
          <w:rFonts w:cs="Times New Roman"/>
          <w:i/>
          <w:lang w:val="es-ES"/>
        </w:rPr>
        <w:t xml:space="preserve">Nota. </w:t>
      </w:r>
      <w:r w:rsidRPr="009A51B8">
        <w:rPr>
          <w:rFonts w:cs="Times New Roman"/>
          <w:lang w:val="es-ES"/>
        </w:rPr>
        <w:t xml:space="preserve">Las líneas verde, azul y roja representan, respectivamente, los escenarios optimista, tendencial y pesimista. El área sombreada muestra la distancia entre las trayectorias extremas y no constituye un intervalo de confianza. El indicador se expresa en una escala de 0 a 1 y corresponde a la opción activa “Brecha de género” del selector. </w:t>
      </w:r>
    </w:p>
    <w:p w14:paraId="427CD1F0" w14:textId="77777777" w:rsidR="000D11B9" w:rsidRPr="009A51B8" w:rsidRDefault="00000000">
      <w:pPr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br w:type="page"/>
      </w:r>
    </w:p>
    <w:p w14:paraId="498EC8F7" w14:textId="77777777" w:rsidR="000D11B9" w:rsidRPr="009A51B8" w:rsidRDefault="00000000" w:rsidP="009A51B8">
      <w:pPr>
        <w:pStyle w:val="Ttulo1"/>
        <w:spacing w:before="0"/>
      </w:pPr>
      <w:r w:rsidRPr="009A51B8">
        <w:lastRenderedPageBreak/>
        <w:t>Desempeño ambiental: la sostenibilidad convertida en señal de país</w:t>
      </w:r>
    </w:p>
    <w:p w14:paraId="05C09156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El Índice de Desempeño Ambiental (EPI) califica de 0 a 100 qué tan cerca está cada país de sus metas ambientales en salud ambiental, vitalidad de los ecosistemas y respuesta al cambio climático; su edición 2024 reúne 58 indicadores en 11 categorías (Yale Center for Environmental Law &amp; Policy, 2024). Este visualizador muestra la trayectoria de Colombia y sus escenarios, la posición de 177 países y regiones, y la estructura del índice.</w:t>
      </w:r>
    </w:p>
    <w:p w14:paraId="1FB72758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b/>
          <w:rFonts w:cs="Times New Roman"/>
          <w:lang w:val="es-ES"/>
        </w:rPr>
        <w:t xml:space="preserve">Cómo usar el visualizador. </w:t>
      </w:r>
      <w:r>
        <w:rPr>
          <w:rFonts w:cs="Times New Roman"/>
          <w:lang w:val="es-ES"/>
        </w:rPr>
        <w:t xml:space="preserve">Empiece por Trayectoria y escenarios, con la ruta de Colombia y sus tres futuros posibles; siga en Explorador por entidad, donde elige cualquier país, región o el promedio global y activa las trayectorias intermedias y los escenarios; termine en Estructura del EPI, recorriendo cada objetivo para descubrir el peso de sus indicadores. Pase el cursor sobre líneas y cajas para consultar cada cifra.</w:t>
      </w:r>
    </w:p>
    <w:p w14:paraId="04232DD4" w14:textId="0FEE9F47" w:rsidR="000D11B9" w:rsidRPr="009A51B8" w:rsidRDefault="00CD5928" w:rsidP="00CD5928">
      <w:pPr>
        <w:pStyle w:val="Descripcin"/>
        <w:rPr>
          <w:rFonts w:cs="Times New Roman"/>
        </w:rPr>
      </w:pPr>
      <w:r w:rsidRPr="009A51B8">
        <w:rPr>
          <w:rFonts w:cs="Times New Roman"/>
          <w:b/>
          <w:bCs w:val="0"/>
          <w:i w:val="0"/>
          <w:iCs/>
        </w:rPr>
        <w:t xml:space="preserve">Figura </w:t>
      </w:r>
      <w:r w:rsidRPr="009A51B8">
        <w:rPr>
          <w:rFonts w:cs="Times New Roman"/>
          <w:b/>
          <w:bCs w:val="0"/>
          <w:i w:val="0"/>
          <w:iCs/>
        </w:rPr>
        <w:fldChar w:fldCharType="begin"/>
      </w:r>
      <w:r w:rsidRPr="009A51B8">
        <w:rPr>
          <w:rFonts w:cs="Times New Roman"/>
          <w:b/>
          <w:bCs w:val="0"/>
          <w:i w:val="0"/>
          <w:iCs/>
        </w:rPr>
        <w:instrText xml:space="preserve"> SEQ Figura \* ARABIC </w:instrText>
      </w:r>
      <w:r w:rsidRPr="009A51B8">
        <w:rPr>
          <w:rFonts w:cs="Times New Roman"/>
          <w:b/>
          <w:bCs w:val="0"/>
          <w:i w:val="0"/>
          <w:iCs/>
        </w:rPr>
        <w:fldChar w:fldCharType="separate"/>
      </w:r>
      <w:r w:rsidRPr="009A51B8">
        <w:rPr>
          <w:rFonts w:cs="Times New Roman"/>
          <w:b/>
          <w:bCs w:val="0"/>
          <w:i w:val="0"/>
          <w:iCs/>
          <w:noProof/>
        </w:rPr>
        <w:t>4</w:t>
      </w:r>
      <w:r w:rsidRPr="009A51B8">
        <w:rPr>
          <w:rFonts w:cs="Times New Roman"/>
          <w:b/>
          <w:bCs w:val="0"/>
          <w:i w:val="0"/>
          <w:iCs/>
        </w:rPr>
        <w:fldChar w:fldCharType="end"/>
      </w:r>
      <w:r w:rsidRPr="009A51B8">
        <w:rPr>
          <w:rFonts w:cs="Times New Roman"/>
          <w:b/>
          <w:bCs w:val="0"/>
          <w:i w:val="0"/>
          <w:iCs/>
        </w:rPr>
        <w:t>.</w:t>
      </w:r>
      <w:r w:rsidRPr="009A51B8">
        <w:rPr>
          <w:rFonts w:cs="Times New Roman"/>
        </w:rPr>
        <w:br/>
      </w:r>
      <w:proofErr w:type="spellStart"/>
      <w:r w:rsidRPr="009A51B8">
        <w:rPr>
          <w:rFonts w:cs="Times New Roman"/>
        </w:rPr>
        <w:t>Environmental</w:t>
      </w:r>
      <w:proofErr w:type="spellEnd"/>
      <w:r w:rsidRPr="009A51B8">
        <w:rPr>
          <w:rFonts w:cs="Times New Roman"/>
        </w:rPr>
        <w:t xml:space="preserve"> Performance </w:t>
      </w:r>
      <w:proofErr w:type="spellStart"/>
      <w:r w:rsidRPr="009A51B8">
        <w:rPr>
          <w:rFonts w:cs="Times New Roman"/>
        </w:rPr>
        <w:t>Index</w:t>
      </w:r>
      <w:proofErr w:type="spellEnd"/>
      <w:r w:rsidRPr="009A51B8">
        <w:rPr>
          <w:rFonts w:cs="Times New Roman"/>
        </w:rPr>
        <w:t xml:space="preserve"> de Colombia</w:t>
      </w:r>
    </w:p>
    <w:p w14:paraId="54A1DD7B" w14:textId="77777777" w:rsidR="000D11B9" w:rsidRPr="009A51B8" w:rsidRDefault="00000000" w:rsidP="00CD5928">
      <w:pPr>
        <w:pStyle w:val="Sinespaciado"/>
        <w:rPr>
          <w:rFonts w:ascii="Times New Roman" w:hAnsi="Times New Roman" w:cs="Times New Roman"/>
          <w:lang w:val="es-ES"/>
        </w:rPr>
      </w:pPr>
      <w:r w:rsidRPr="009A51B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4F570828" wp14:editId="6A71FEC4">
            <wp:extent cx="4684295" cy="2523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1"/>
                    <a:srcRect t="6263" b="5149"/>
                    <a:stretch/>
                  </pic:blipFill>
                  <pic:spPr bwMode="auto">
                    <a:xfrm>
                      <a:off x="0" y="0"/>
                      <a:ext cx="4688710" cy="2525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A8BC0" w14:textId="77777777" w:rsidR="000D11B9" w:rsidRPr="009A51B8" w:rsidRDefault="00000000" w:rsidP="00CD5928">
      <w:pPr>
        <w:pStyle w:val="Notaalpie"/>
        <w:rPr>
          <w:rFonts w:cs="Times New Roman"/>
          <w:lang w:val="es-ES"/>
        </w:rPr>
      </w:pPr>
      <w:r w:rsidRPr="009A51B8">
        <w:rPr>
          <w:rFonts w:cs="Times New Roman"/>
          <w:i/>
          <w:lang w:val="es-ES"/>
        </w:rPr>
        <w:t xml:space="preserve">Nota. </w:t>
      </w:r>
      <w:r w:rsidRPr="009A51B8">
        <w:rPr>
          <w:rFonts w:cs="Times New Roman"/>
          <w:lang w:val="es-ES"/>
        </w:rPr>
        <w:t xml:space="preserve">La línea azul petróleo representa la serie histórica armonizada de 2000 a 2025 y la estrella identifica el valor de referencia de 2026. Las líneas azul, verde y roja corresponden a los escenarios optimista, tendencial y restrictivo para 2027–2050. La franja verde muestra el corredor entre los escenarios extremos y no constituye un intervalo de confianza estadístico. Elaboración propia con base en la matriz analítica del EPI y en el marco metodológico de Yale Center </w:t>
      </w:r>
      <w:proofErr w:type="spellStart"/>
      <w:r w:rsidRPr="009A51B8">
        <w:rPr>
          <w:rFonts w:cs="Times New Roman"/>
          <w:lang w:val="es-ES"/>
        </w:rPr>
        <w:t>for</w:t>
      </w:r>
      <w:proofErr w:type="spellEnd"/>
      <w:r w:rsidRPr="009A51B8">
        <w:rPr>
          <w:rFonts w:cs="Times New Roman"/>
          <w:lang w:val="es-ES"/>
        </w:rPr>
        <w:t xml:space="preserve"> </w:t>
      </w:r>
      <w:proofErr w:type="spellStart"/>
      <w:r w:rsidRPr="009A51B8">
        <w:rPr>
          <w:rFonts w:cs="Times New Roman"/>
          <w:lang w:val="es-ES"/>
        </w:rPr>
        <w:t>Environmental</w:t>
      </w:r>
      <w:proofErr w:type="spellEnd"/>
      <w:r w:rsidRPr="009A51B8">
        <w:rPr>
          <w:rFonts w:cs="Times New Roman"/>
          <w:lang w:val="es-ES"/>
        </w:rPr>
        <w:t xml:space="preserve"> Law &amp; Policy (2024).</w:t>
      </w:r>
    </w:p>
    <w:p w14:paraId="6F903D4F" w14:textId="77777777" w:rsidR="000D11B9" w:rsidRPr="009A51B8" w:rsidRDefault="00000000">
      <w:pPr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br w:type="page"/>
      </w:r>
    </w:p>
    <w:p w14:paraId="0B8CE382" w14:textId="77777777" w:rsidR="000D11B9" w:rsidRPr="009A51B8" w:rsidRDefault="00000000" w:rsidP="009A51B8">
      <w:pPr>
        <w:pStyle w:val="Ttulo1"/>
        <w:spacing w:before="0"/>
      </w:pPr>
      <w:r w:rsidRPr="009A51B8">
        <w:lastRenderedPageBreak/>
        <w:t>Calidad de vida digital: conectividad con capacidad de bienestar</w:t>
      </w:r>
    </w:p>
    <w:p w14:paraId="3700A39B" w14:textId="2F10CF3E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El Índice de Calidad de Vida Digital (DQL, Surfshark) examina las condiciones que determinan el bienestar en el entorno digital: asequibilidad y calidad de internet, infraestructura electrónica, seguridad electrónica y gobierno electrónico. Este visualizador proyecta el índice de 37 países y el promedio OCDE hasta 2030 bajo escenarios prospectivos.</w:t>
      </w:r>
    </w:p>
    <w:p w14:paraId="1544F644" w14:textId="77777777" w:rsidR="000D11B9" w:rsidRPr="009A51B8" w:rsidRDefault="00000000" w:rsidP="00CD5928">
      <w:pPr>
        <w:pStyle w:val="Prrafodelista"/>
        <w:rPr>
          <w:rFonts w:cs="Times New Roman"/>
          <w:lang w:val="es-ES"/>
        </w:rPr>
      </w:pPr>
      <w:r>
        <w:rPr>
          <w:b/>
          <w:rFonts w:cs="Times New Roman"/>
          <w:lang w:val="es-ES"/>
        </w:rPr>
        <w:t xml:space="preserve">Cómo usar el visualizador. </w:t>
      </w:r>
      <w:r>
        <w:rPr>
          <w:rFonts w:cs="Times New Roman"/>
          <w:lang w:val="es-ES"/>
        </w:rPr>
        <w:t xml:space="preserve">En Trayectoria y escenarios, elija hasta tres países, un escenario y la banda del 95 % para ver hacia dónde va la calidad de vida digital hasta 2030; en Comparador por escenario, enfrente los países bajo la ruta pesimista, tendencial u optimista y consulte sus valores a 2030. Pase el cursor sobre cada línea para leer los datos.</w:t>
      </w:r>
    </w:p>
    <w:p w14:paraId="016F7453" w14:textId="12283A56" w:rsidR="000D11B9" w:rsidRPr="009A51B8" w:rsidRDefault="00CD5928" w:rsidP="00CD5928">
      <w:pPr>
        <w:pStyle w:val="Descripcin"/>
        <w:rPr>
          <w:rFonts w:cs="Times New Roman"/>
        </w:rPr>
      </w:pPr>
      <w:r w:rsidRPr="009A51B8">
        <w:rPr>
          <w:rFonts w:cs="Times New Roman"/>
          <w:b/>
          <w:bCs w:val="0"/>
          <w:i w:val="0"/>
          <w:iCs/>
        </w:rPr>
        <w:t xml:space="preserve">Figura </w:t>
      </w:r>
      <w:r w:rsidRPr="009A51B8">
        <w:rPr>
          <w:rFonts w:cs="Times New Roman"/>
          <w:b/>
          <w:bCs w:val="0"/>
          <w:i w:val="0"/>
          <w:iCs/>
        </w:rPr>
        <w:fldChar w:fldCharType="begin"/>
      </w:r>
      <w:r w:rsidRPr="009A51B8">
        <w:rPr>
          <w:rFonts w:cs="Times New Roman"/>
          <w:b/>
          <w:bCs w:val="0"/>
          <w:i w:val="0"/>
          <w:iCs/>
        </w:rPr>
        <w:instrText xml:space="preserve"> SEQ Figura \* ARABIC </w:instrText>
      </w:r>
      <w:r w:rsidRPr="009A51B8">
        <w:rPr>
          <w:rFonts w:cs="Times New Roman"/>
          <w:b/>
          <w:bCs w:val="0"/>
          <w:i w:val="0"/>
          <w:iCs/>
        </w:rPr>
        <w:fldChar w:fldCharType="separate"/>
      </w:r>
      <w:r w:rsidRPr="009A51B8">
        <w:rPr>
          <w:rFonts w:cs="Times New Roman"/>
          <w:b/>
          <w:bCs w:val="0"/>
          <w:i w:val="0"/>
          <w:iCs/>
          <w:noProof/>
        </w:rPr>
        <w:t>5</w:t>
      </w:r>
      <w:r w:rsidRPr="009A51B8">
        <w:rPr>
          <w:rFonts w:cs="Times New Roman"/>
          <w:b/>
          <w:bCs w:val="0"/>
          <w:i w:val="0"/>
          <w:iCs/>
        </w:rPr>
        <w:fldChar w:fldCharType="end"/>
      </w:r>
      <w:r w:rsidRPr="009A51B8">
        <w:rPr>
          <w:rFonts w:cs="Times New Roman"/>
          <w:b/>
          <w:bCs w:val="0"/>
          <w:i w:val="0"/>
          <w:iCs/>
        </w:rPr>
        <w:t>.</w:t>
      </w:r>
      <w:r w:rsidRPr="009A51B8">
        <w:rPr>
          <w:rFonts w:cs="Times New Roman"/>
          <w:b/>
          <w:bCs w:val="0"/>
          <w:i w:val="0"/>
          <w:iCs/>
        </w:rPr>
        <w:br/>
      </w:r>
      <w:r w:rsidRPr="009A51B8">
        <w:rPr>
          <w:rFonts w:cs="Times New Roman"/>
        </w:rPr>
        <w:t xml:space="preserve">Comparación prospectiva del Digital </w:t>
      </w:r>
      <w:proofErr w:type="spellStart"/>
      <w:r w:rsidRPr="009A51B8">
        <w:rPr>
          <w:rFonts w:cs="Times New Roman"/>
        </w:rPr>
        <w:t>Quality</w:t>
      </w:r>
      <w:proofErr w:type="spellEnd"/>
      <w:r w:rsidRPr="009A51B8">
        <w:rPr>
          <w:rFonts w:cs="Times New Roman"/>
        </w:rPr>
        <w:t xml:space="preserve"> </w:t>
      </w:r>
      <w:proofErr w:type="spellStart"/>
      <w:r w:rsidRPr="009A51B8">
        <w:rPr>
          <w:rFonts w:cs="Times New Roman"/>
        </w:rPr>
        <w:t>of</w:t>
      </w:r>
      <w:proofErr w:type="spellEnd"/>
      <w:r w:rsidRPr="009A51B8">
        <w:rPr>
          <w:rFonts w:cs="Times New Roman"/>
        </w:rPr>
        <w:t xml:space="preserve"> Life </w:t>
      </w:r>
      <w:proofErr w:type="spellStart"/>
      <w:r w:rsidRPr="009A51B8">
        <w:rPr>
          <w:rFonts w:cs="Times New Roman"/>
        </w:rPr>
        <w:t>Index</w:t>
      </w:r>
      <w:proofErr w:type="spellEnd"/>
    </w:p>
    <w:p w14:paraId="2BCE3B44" w14:textId="77777777" w:rsidR="000D11B9" w:rsidRPr="009A51B8" w:rsidRDefault="00000000" w:rsidP="00CD5928">
      <w:pPr>
        <w:pStyle w:val="Sinespaciado"/>
        <w:rPr>
          <w:rFonts w:ascii="Times New Roman" w:hAnsi="Times New Roman" w:cs="Times New Roman"/>
          <w:lang w:val="es-ES"/>
        </w:rPr>
      </w:pPr>
      <w:r w:rsidRPr="009A51B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4493A7E7" wp14:editId="6CE86A48">
            <wp:extent cx="5197642" cy="272518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2"/>
                    <a:srcRect t="8973"/>
                    <a:stretch/>
                  </pic:blipFill>
                  <pic:spPr bwMode="auto">
                    <a:xfrm>
                      <a:off x="0" y="0"/>
                      <a:ext cx="5207840" cy="27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47281" w14:textId="77777777" w:rsidR="000D11B9" w:rsidRPr="009A51B8" w:rsidRDefault="00000000" w:rsidP="00CD5928">
      <w:pPr>
        <w:pStyle w:val="Notaalpie"/>
        <w:rPr>
          <w:rFonts w:cs="Times New Roman"/>
          <w:lang w:val="es-ES"/>
        </w:rPr>
      </w:pPr>
      <w:r w:rsidRPr="009A51B8">
        <w:rPr>
          <w:rFonts w:cs="Times New Roman"/>
          <w:i/>
          <w:lang w:val="es-ES"/>
        </w:rPr>
        <w:t xml:space="preserve">Nota. </w:t>
      </w:r>
      <w:r w:rsidRPr="009A51B8">
        <w:rPr>
          <w:rFonts w:cs="Times New Roman"/>
          <w:lang w:val="es-ES"/>
        </w:rPr>
        <w:t xml:space="preserve">Las series observadas abarcan 2022–2025 y la línea vertical señala el inicio de la proyección en 2026. Las líneas discontinuas representan el pronóstico central incorporado en la base; las curvas continuas prospectivas muestran un escenario simulado activo entre varias trayectorias plausibles. La escala del índice se expresa entre 0 y 1. Fuente histórica: </w:t>
      </w:r>
      <w:proofErr w:type="spellStart"/>
      <w:r w:rsidRPr="009A51B8">
        <w:rPr>
          <w:rFonts w:cs="Times New Roman"/>
          <w:lang w:val="es-ES"/>
        </w:rPr>
        <w:t>Surfshark</w:t>
      </w:r>
      <w:proofErr w:type="spellEnd"/>
      <w:r w:rsidRPr="009A51B8">
        <w:rPr>
          <w:rFonts w:cs="Times New Roman"/>
          <w:lang w:val="es-ES"/>
        </w:rPr>
        <w:t xml:space="preserve"> (2025). Proyecciones y elaboración gráfica propias.</w:t>
      </w:r>
    </w:p>
    <w:p w14:paraId="086972D4" w14:textId="77777777" w:rsidR="000D11B9" w:rsidRPr="009A51B8" w:rsidRDefault="00000000">
      <w:pPr>
        <w:rPr>
          <w:rFonts w:cs="Times New Roman"/>
          <w:lang w:val="es-ES"/>
        </w:rPr>
      </w:pPr>
      <w:r w:rsidRPr="009A51B8">
        <w:rPr>
          <w:rFonts w:cs="Times New Roman"/>
          <w:lang w:val="es-ES"/>
        </w:rPr>
        <w:br w:type="page"/>
      </w:r>
    </w:p>
    <w:p w14:paraId="5066F470" w14:textId="77777777" w:rsidR="000D11B9" w:rsidRPr="009A51B8" w:rsidRDefault="00000000">
      <w:pPr>
        <w:keepNext/>
        <w:spacing w:before="240" w:after="120"/>
        <w:rPr>
          <w:rFonts w:cs="Times New Roman"/>
          <w:lang w:val="es-ES"/>
        </w:rPr>
      </w:pPr>
      <w:r w:rsidRPr="009A51B8">
        <w:rPr>
          <w:rFonts w:cs="Times New Roman"/>
          <w:b/>
          <w:color w:val="144E63"/>
          <w:sz w:val="28"/>
          <w:lang w:val="es-ES"/>
        </w:rPr>
        <w:lastRenderedPageBreak/>
        <w:t>Referencias</w:t>
      </w:r>
    </w:p>
    <w:p w14:paraId="18BC3E79" w14:textId="77777777" w:rsidR="000D11B9" w:rsidRPr="009A51B8" w:rsidRDefault="00000000" w:rsidP="009A51B8">
      <w:pPr>
        <w:spacing w:after="0" w:line="360" w:lineRule="auto"/>
        <w:ind w:left="426" w:hanging="426"/>
        <w:rPr>
          <w:rFonts w:cs="Times New Roman"/>
        </w:rPr>
      </w:pPr>
      <w:r w:rsidRPr="009A51B8">
        <w:rPr>
          <w:rFonts w:cs="Times New Roman"/>
          <w:lang w:val="es-ES"/>
        </w:rPr>
        <w:t xml:space="preserve">Banco Mundial. (s. f.). </w:t>
      </w:r>
      <w:r w:rsidRPr="009A51B8">
        <w:rPr>
          <w:rFonts w:cs="Times New Roman"/>
        </w:rPr>
        <w:t>Human Capital Project. https://www.worldbank.org/en/publication/human-capital</w:t>
      </w:r>
    </w:p>
    <w:p w14:paraId="08B57895" w14:textId="77777777" w:rsidR="000D11B9" w:rsidRPr="009A51B8" w:rsidRDefault="00000000" w:rsidP="009A51B8">
      <w:pPr>
        <w:spacing w:after="0" w:line="360" w:lineRule="auto"/>
        <w:ind w:left="426" w:hanging="426"/>
        <w:rPr>
          <w:rFonts w:cs="Times New Roman"/>
        </w:rPr>
      </w:pPr>
      <w:r w:rsidRPr="009A51B8">
        <w:rPr>
          <w:rFonts w:cs="Times New Roman"/>
        </w:rPr>
        <w:t xml:space="preserve">Centre for Bhutan &amp; </w:t>
      </w:r>
      <w:proofErr w:type="spellStart"/>
      <w:r w:rsidRPr="009A51B8">
        <w:rPr>
          <w:rFonts w:cs="Times New Roman"/>
        </w:rPr>
        <w:t>GNH</w:t>
      </w:r>
      <w:proofErr w:type="spellEnd"/>
      <w:r w:rsidRPr="009A51B8">
        <w:rPr>
          <w:rFonts w:cs="Times New Roman"/>
        </w:rPr>
        <w:t xml:space="preserve"> Studies. (s. f.). Gross National Happiness. https://bhutanstudies.org.bt/gross-national-happiness/</w:t>
      </w:r>
    </w:p>
    <w:p w14:paraId="34DFB0B0" w14:textId="77777777" w:rsidR="000D11B9" w:rsidRPr="009A51B8" w:rsidRDefault="00000000" w:rsidP="009A51B8">
      <w:pPr>
        <w:spacing w:after="0" w:line="360" w:lineRule="auto"/>
        <w:ind w:left="426" w:hanging="426"/>
        <w:rPr>
          <w:rFonts w:cs="Times New Roman"/>
        </w:rPr>
      </w:pPr>
      <w:r w:rsidRPr="009A51B8">
        <w:rPr>
          <w:rFonts w:cs="Times New Roman"/>
          <w:lang w:val="es-ES"/>
        </w:rPr>
        <w:t xml:space="preserve">Organización para la Cooperación y el Desarrollo Económicos. </w:t>
      </w:r>
      <w:r w:rsidRPr="009A51B8">
        <w:rPr>
          <w:rFonts w:cs="Times New Roman"/>
        </w:rPr>
        <w:t>(s. f.). OECD Better Life Index. https://www.oecdbetterlifeindex.org/</w:t>
      </w:r>
    </w:p>
    <w:p w14:paraId="048A3180" w14:textId="77777777" w:rsidR="000D11B9" w:rsidRPr="009A51B8" w:rsidRDefault="00000000" w:rsidP="009A51B8">
      <w:pPr>
        <w:spacing w:after="0" w:line="360" w:lineRule="auto"/>
        <w:ind w:left="426" w:hanging="426"/>
        <w:rPr>
          <w:rFonts w:cs="Times New Roman"/>
        </w:rPr>
      </w:pPr>
      <w:r w:rsidRPr="009A51B8">
        <w:rPr>
          <w:rFonts w:cs="Times New Roman"/>
        </w:rPr>
        <w:t>Surfshark. (2025). Digital Quality of Life Index: Methodology. https://surfshark.com/research/dql/methodology</w:t>
      </w:r>
    </w:p>
    <w:p w14:paraId="44999BA5" w14:textId="77777777" w:rsidR="000D11B9" w:rsidRPr="009A51B8" w:rsidRDefault="00000000" w:rsidP="009A51B8">
      <w:pPr>
        <w:spacing w:after="0" w:line="360" w:lineRule="auto"/>
        <w:ind w:left="426" w:hanging="426"/>
        <w:rPr>
          <w:rFonts w:cs="Times New Roman"/>
          <w:lang w:val="es-ES"/>
        </w:rPr>
      </w:pPr>
      <w:r w:rsidRPr="009A51B8">
        <w:rPr>
          <w:rFonts w:cs="Times New Roman"/>
        </w:rPr>
        <w:t xml:space="preserve">Yale Center for Environmental Law &amp; Policy. </w:t>
      </w:r>
      <w:r w:rsidRPr="009A51B8">
        <w:rPr>
          <w:rFonts w:cs="Times New Roman"/>
          <w:lang w:val="es-ES"/>
        </w:rPr>
        <w:t xml:space="preserve">(2024). 2024 </w:t>
      </w:r>
      <w:proofErr w:type="spellStart"/>
      <w:r w:rsidRPr="009A51B8">
        <w:rPr>
          <w:rFonts w:cs="Times New Roman"/>
          <w:lang w:val="es-ES"/>
        </w:rPr>
        <w:t>Environmental</w:t>
      </w:r>
      <w:proofErr w:type="spellEnd"/>
      <w:r w:rsidRPr="009A51B8">
        <w:rPr>
          <w:rFonts w:cs="Times New Roman"/>
          <w:lang w:val="es-ES"/>
        </w:rPr>
        <w:t xml:space="preserve"> Performance </w:t>
      </w:r>
      <w:proofErr w:type="spellStart"/>
      <w:r w:rsidRPr="009A51B8">
        <w:rPr>
          <w:rFonts w:cs="Times New Roman"/>
          <w:lang w:val="es-ES"/>
        </w:rPr>
        <w:t>Index</w:t>
      </w:r>
      <w:proofErr w:type="spellEnd"/>
      <w:r w:rsidRPr="009A51B8">
        <w:rPr>
          <w:rFonts w:cs="Times New Roman"/>
          <w:lang w:val="es-ES"/>
        </w:rPr>
        <w:t>. https://epi.yale.edu</w:t>
      </w:r>
    </w:p>
    <w:sectPr w:rsidR="000D11B9" w:rsidRPr="009A51B8" w:rsidSect="00034616">
      <w:headerReference w:type="default" r:id="rId13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69E2" w14:textId="77777777" w:rsidR="008453A1" w:rsidRDefault="008453A1">
      <w:pPr>
        <w:spacing w:after="0" w:line="240" w:lineRule="auto"/>
      </w:pPr>
      <w:r>
        <w:separator/>
      </w:r>
    </w:p>
  </w:endnote>
  <w:endnote w:type="continuationSeparator" w:id="0">
    <w:p w14:paraId="3AC80EF4" w14:textId="77777777" w:rsidR="008453A1" w:rsidRDefault="00845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2E67" w14:textId="77777777" w:rsidR="008453A1" w:rsidRDefault="008453A1">
      <w:pPr>
        <w:spacing w:after="0" w:line="240" w:lineRule="auto"/>
      </w:pPr>
      <w:r>
        <w:separator/>
      </w:r>
    </w:p>
  </w:footnote>
  <w:footnote w:type="continuationSeparator" w:id="0">
    <w:p w14:paraId="4791EBCA" w14:textId="77777777" w:rsidR="008453A1" w:rsidRDefault="00845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494C" w14:textId="77777777" w:rsidR="000D11B9" w:rsidRDefault="000D11B9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24"/>
      <w:gridCol w:w="4824"/>
    </w:tblGrid>
    <w:tr w:rsidR="000D11B9" w14:paraId="7A9F4366" w14:textId="77777777">
      <w:trPr>
        <w:jc w:val="center"/>
      </w:trPr>
      <w:tc>
        <w:tcPr>
          <w:tcW w:w="482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D11E943" w14:textId="3398DC08" w:rsidR="000D11B9" w:rsidRDefault="000D11B9"/>
      </w:tc>
      <w:tc>
        <w:tcPr>
          <w:tcW w:w="482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32E8489" w14:textId="77777777" w:rsidR="000D11B9" w:rsidRDefault="00000000">
          <w:pPr>
            <w:jc w:val="right"/>
          </w:pPr>
          <w:r>
            <w:rPr>
              <w:rFonts w:ascii="Arial" w:hAnsi="Arial"/>
              <w:color w:val="4B5563"/>
              <w:sz w:val="18"/>
            </w:rPr>
            <w:fldChar w:fldCharType="begin"/>
          </w:r>
          <w:r>
            <w:rPr>
              <w:rFonts w:ascii="Arial" w:hAnsi="Arial"/>
              <w:color w:val="4B5563"/>
              <w:sz w:val="18"/>
            </w:rPr>
            <w:instrText xml:space="preserve"> PAGE </w:instrText>
          </w:r>
          <w:r>
            <w:rPr>
              <w:rFonts w:ascii="Arial" w:hAnsi="Arial"/>
              <w:color w:val="4B5563"/>
              <w:sz w:val="18"/>
            </w:rPr>
            <w:fldChar w:fldCharType="separate"/>
          </w:r>
          <w:r w:rsidR="00CD5928">
            <w:rPr>
              <w:rFonts w:ascii="Arial" w:hAnsi="Arial"/>
              <w:noProof/>
              <w:color w:val="4B5563"/>
              <w:sz w:val="18"/>
            </w:rPr>
            <w:t>1</w:t>
          </w:r>
          <w:r>
            <w:rPr>
              <w:rFonts w:ascii="Arial" w:hAnsi="Arial"/>
              <w:color w:val="4B5563"/>
              <w:sz w:val="1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9763A9"/>
    <w:multiLevelType w:val="multilevel"/>
    <w:tmpl w:val="E6CA5B9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8164378">
    <w:abstractNumId w:val="8"/>
  </w:num>
  <w:num w:numId="2" w16cid:durableId="399908178">
    <w:abstractNumId w:val="6"/>
  </w:num>
  <w:num w:numId="3" w16cid:durableId="1816676243">
    <w:abstractNumId w:val="5"/>
  </w:num>
  <w:num w:numId="4" w16cid:durableId="1260724508">
    <w:abstractNumId w:val="4"/>
  </w:num>
  <w:num w:numId="5" w16cid:durableId="455219307">
    <w:abstractNumId w:val="7"/>
  </w:num>
  <w:num w:numId="6" w16cid:durableId="1848246756">
    <w:abstractNumId w:val="3"/>
  </w:num>
  <w:num w:numId="7" w16cid:durableId="1283462388">
    <w:abstractNumId w:val="2"/>
  </w:num>
  <w:num w:numId="8" w16cid:durableId="1790859436">
    <w:abstractNumId w:val="1"/>
  </w:num>
  <w:num w:numId="9" w16cid:durableId="81805247">
    <w:abstractNumId w:val="0"/>
  </w:num>
  <w:num w:numId="10" w16cid:durableId="182476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B9"/>
    <w:rsid w:val="0015074B"/>
    <w:rsid w:val="0029639D"/>
    <w:rsid w:val="002C214C"/>
    <w:rsid w:val="00326F90"/>
    <w:rsid w:val="008453A1"/>
    <w:rsid w:val="009A51B8"/>
    <w:rsid w:val="00AA1D8D"/>
    <w:rsid w:val="00B336FD"/>
    <w:rsid w:val="00B47730"/>
    <w:rsid w:val="00CB0664"/>
    <w:rsid w:val="00CD5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CF4F26F"/>
  <w14:defaultImageDpi w14:val="300"/>
  <w15:docId w15:val="{06DFCFF1-51EB-417B-865F-F7909CBD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A51B8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sz w:val="28"/>
      <w:szCs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5928"/>
    <w:pPr>
      <w:keepNext/>
      <w:keepLines/>
      <w:numPr>
        <w:ilvl w:val="1"/>
        <w:numId w:val="10"/>
      </w:numPr>
      <w:spacing w:before="200" w:after="0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A51B8"/>
    <w:rPr>
      <w:rFonts w:ascii="Times New Roman" w:eastAsiaTheme="majorEastAsia" w:hAnsi="Times New Roman" w:cstheme="majorBidi"/>
      <w:b/>
      <w:bCs/>
      <w:sz w:val="28"/>
      <w:szCs w:val="28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CD5928"/>
    <w:rPr>
      <w:rFonts w:ascii="Times New Roman" w:eastAsiaTheme="majorEastAsia" w:hAnsi="Times New Roman" w:cstheme="majorBidi"/>
      <w:b/>
      <w:bCs/>
      <w:color w:val="00206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CD5928"/>
    <w:pPr>
      <w:spacing w:before="120" w:after="120" w:line="360" w:lineRule="auto"/>
      <w:ind w:firstLine="720"/>
      <w:contextualSpacing/>
      <w:jc w:val="both"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CD5928"/>
    <w:pPr>
      <w:spacing w:line="240" w:lineRule="auto"/>
    </w:pPr>
    <w:rPr>
      <w:bCs/>
      <w:i/>
      <w:color w:val="000000" w:themeColor="text1"/>
      <w:sz w:val="18"/>
      <w:szCs w:val="18"/>
      <w:lang w:val="es-ES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alpie">
    <w:name w:val="Nota al pie"/>
    <w:basedOn w:val="Normal"/>
    <w:link w:val="NotaalpieCar"/>
    <w:qFormat/>
    <w:rsid w:val="00CD5928"/>
    <w:pPr>
      <w:spacing w:after="0" w:line="240" w:lineRule="auto"/>
      <w:jc w:val="both"/>
    </w:pPr>
    <w:rPr>
      <w:sz w:val="16"/>
      <w:lang w:val="es-MX"/>
    </w:rPr>
  </w:style>
  <w:style w:type="character" w:customStyle="1" w:styleId="NotaalpieCar">
    <w:name w:val="Nota al pie Car"/>
    <w:basedOn w:val="Fuentedeprrafopredeter"/>
    <w:link w:val="Notaalpie"/>
    <w:rsid w:val="00CD5928"/>
    <w:rPr>
      <w:rFonts w:ascii="Times New Roman" w:hAnsi="Times New Roman"/>
      <w:sz w:val="1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1909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Indicadores prospectivos de bienestar integral</dc:title>
  <dc:subject>Índice para una Vida Mejor, Felicidad Nacional Bruta, Human Capital Index, EPI y DQL</dc:subject>
  <dc:creator>Observatorio de Prospectiva</dc:creator>
  <cp:keywords>bienestar integral, prospectiva, OCDE, capital humano, EPI, DQL, felicidad nacional bruta</cp:keywords>
  <dc:description>generated by python-docx</dc:description>
  <cp:lastModifiedBy>User</cp:lastModifiedBy>
  <cp:revision>3</cp:revision>
  <dcterms:created xsi:type="dcterms:W3CDTF">2013-12-23T23:15:00Z</dcterms:created>
  <dcterms:modified xsi:type="dcterms:W3CDTF">2026-07-24T12:18:00Z</dcterms:modified>
  <cp:category/>
</cp:coreProperties>
</file>