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90487" w14:textId="77777777" w:rsidR="00E347E3" w:rsidRPr="00E347E3" w:rsidRDefault="00E347E3" w:rsidP="00E347E3">
      <w:pPr>
        <w:pStyle w:val="Heading1"/>
        <w:spacing w:before="0" w:beforeAutospacing="0" w:after="0" w:afterAutospacing="0"/>
        <w:textAlignment w:val="baseline"/>
        <w:rPr>
          <w:color w:val="000000"/>
          <w:lang w:val="es-CO"/>
        </w:rPr>
      </w:pPr>
      <w:r>
        <w:rPr>
          <w:color w:val="000000"/>
          <w:sz w:val="28"/>
          <w:szCs w:val="28"/>
          <w:lang w:val="es-CO"/>
        </w:rPr>
        <w:t xml:space="preserve">Calidad de vida digital: el bienestar también se juega en línea</w:t>
      </w:r>
    </w:p>
    <w:p w14:paraId="3D4F988B" w14:textId="77777777" w:rsidR="00E347E3" w:rsidRPr="00E347E3" w:rsidRDefault="00E347E3" w:rsidP="00E347E3">
      <w:pPr>
        <w:pStyle w:val="NormalWeb"/>
        <w:spacing w:before="120" w:beforeAutospacing="0" w:after="0" w:afterAutospacing="0"/>
        <w:jc w:val="both"/>
        <w:rPr>
          <w:lang w:val="es-CO"/>
        </w:rPr>
      </w:pPr>
      <w:r>
        <w:rPr>
          <w:color w:val="000000"/>
          <w:lang w:val="es-CO"/>
        </w:rPr>
        <w:t xml:space="preserve">El Índice de Calidad de Vida Digital (DQL, Surfshark) examina las condiciones que determinan el bienestar en el entorno digital: asequibilidad y calidad de internet, infraestructura electrónica, seguridad electrónica y gobierno electrónico. Este visualizador proyecta el índice de 37 países y el promedio OCDE hasta 2030 bajo escenarios prospectivos.</w:t>
      </w:r>
    </w:p>
    <w:p w14:paraId="319BDCBF" w14:textId="77777777" w:rsidR="00E347E3" w:rsidRPr="00E347E3" w:rsidRDefault="00E347E3" w:rsidP="00E347E3">
      <w:pPr>
        <w:pStyle w:val="NormalWeb"/>
        <w:spacing w:before="0" w:beforeAutospacing="0" w:after="120" w:afterAutospacing="0"/>
        <w:jc w:val="both"/>
        <w:rPr>
          <w:lang w:val="es-CO"/>
        </w:rPr>
      </w:pPr>
      <w:r>
        <w:rPr>
          <w:b/>
          <w:color w:val="000000"/>
          <w:lang w:val="es-CO"/>
        </w:rPr>
        <w:t xml:space="preserve">Cómo usar el visualizador. </w:t>
      </w:r>
      <w:r>
        <w:rPr>
          <w:color w:val="000000"/>
          <w:lang w:val="es-CO"/>
        </w:rPr>
        <w:t xml:space="preserve">En Trayectoria y escenarios, elija hasta tres países, un escenario y la banda del 95 % para ver hacia dónde va la calidad de vida digital hasta 2030; en Comparador por escenario, enfrente los países bajo la ruta pesimista, tendencial u optimista y consulte sus valores a 2030. Pase el cursor sobre cada línea para leer los datos.</w:t>
      </w:r>
    </w:p>
    <w:p w14:paraId="397FA582" w14:textId="77777777" w:rsidR="002C4DC1" w:rsidRPr="002C4DC1" w:rsidRDefault="002C4DC1" w:rsidP="002C4D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 w:eastAsia="en-GB"/>
        </w:rPr>
      </w:pPr>
    </w:p>
    <w:sectPr w:rsidR="002C4DC1" w:rsidRPr="002C4D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D025E1"/>
    <w:multiLevelType w:val="multilevel"/>
    <w:tmpl w:val="BD8E7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B61CE5"/>
    <w:multiLevelType w:val="multilevel"/>
    <w:tmpl w:val="8C120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DC1"/>
    <w:rsid w:val="002C4DC1"/>
    <w:rsid w:val="008E5ED4"/>
    <w:rsid w:val="00E34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72A02"/>
  <w15:chartTrackingRefBased/>
  <w15:docId w15:val="{DCA7B0B3-DE34-41DF-8D7F-37ED29C13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4D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DC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C4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3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Calidad de vida digital: el bienestar también se juega en línea</dc:title>
  <dc:subject/>
  <dc:creator>Julian Casanova</dc:creator>
  <cp:keywords/>
  <dc:description/>
  <cp:lastModifiedBy>Julian Casanova</cp:lastModifiedBy>
  <cp:revision>1</cp:revision>
  <dcterms:created xsi:type="dcterms:W3CDTF">2026-08-08T17:13:00Z</dcterms:created>
  <dcterms:modified xsi:type="dcterms:W3CDTF">2026-08-08T18:02:00Z</dcterms:modified>
</cp:coreProperties>
</file>