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79180" w14:textId="3F343A55" w:rsidR="00E2068D" w:rsidRPr="00A77248" w:rsidRDefault="00E2068D" w:rsidP="00A77248">
      <w:pPr>
        <w:spacing w:line="360" w:lineRule="auto"/>
        <w:jc w:val="center"/>
        <w:rPr>
          <w:rFonts w:ascii="Times New Roman" w:hAnsi="Times New Roman" w:cs="Times New Roman"/>
        </w:rPr>
      </w:pPr>
      <w:r w:rsidRPr="00A77248">
        <w:rPr>
          <w:rFonts w:ascii="Times New Roman" w:hAnsi="Times New Roman" w:cs="Times New Roman"/>
          <w:noProof/>
        </w:rPr>
        <w:drawing>
          <wp:inline distT="0" distB="0" distL="0" distR="0" wp14:anchorId="51AE9CBB" wp14:editId="20B07305">
            <wp:extent cx="2445692" cy="2446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extLst>
                        <a:ext uri="{28A0092B-C50C-407E-A947-70E740481C1C}">
                          <a14:useLocalDpi xmlns:a14="http://schemas.microsoft.com/office/drawing/2010/main" val="0"/>
                        </a:ext>
                      </a:extLst>
                    </a:blip>
                    <a:stretch>
                      <a:fillRect/>
                    </a:stretch>
                  </pic:blipFill>
                  <pic:spPr>
                    <a:xfrm>
                      <a:off x="0" y="0"/>
                      <a:ext cx="2470537" cy="2470868"/>
                    </a:xfrm>
                    <a:prstGeom prst="rect">
                      <a:avLst/>
                    </a:prstGeom>
                  </pic:spPr>
                </pic:pic>
              </a:graphicData>
            </a:graphic>
          </wp:inline>
        </w:drawing>
      </w:r>
    </w:p>
    <w:p w14:paraId="27797803" w14:textId="2C2E8ED0" w:rsidR="00E2068D" w:rsidRPr="00A77248" w:rsidRDefault="00E2068D" w:rsidP="00A77248">
      <w:pPr>
        <w:spacing w:line="360" w:lineRule="auto"/>
        <w:jc w:val="both"/>
        <w:rPr>
          <w:rFonts w:ascii="Times New Roman" w:hAnsi="Times New Roman" w:cs="Times New Roman"/>
          <w:b/>
          <w:bCs/>
        </w:rPr>
      </w:pPr>
      <w:r w:rsidRPr="00A77248">
        <w:rPr>
          <w:rFonts w:ascii="Times New Roman" w:hAnsi="Times New Roman" w:cs="Times New Roman"/>
          <w:b/>
          <w:bCs/>
        </w:rPr>
        <w:t>Chapter 2</w:t>
      </w:r>
    </w:p>
    <w:p w14:paraId="7F70274F" w14:textId="6E2CCDD2" w:rsidR="00E2068D" w:rsidRPr="00A77248" w:rsidRDefault="00E2068D" w:rsidP="00A77248">
      <w:pPr>
        <w:spacing w:line="360" w:lineRule="auto"/>
        <w:jc w:val="both"/>
        <w:rPr>
          <w:rFonts w:ascii="Times New Roman" w:hAnsi="Times New Roman" w:cs="Times New Roman"/>
        </w:rPr>
      </w:pPr>
      <w:r w:rsidRPr="00A77248">
        <w:rPr>
          <w:rFonts w:ascii="Times New Roman" w:hAnsi="Times New Roman" w:cs="Times New Roman"/>
        </w:rPr>
        <w:t>Prominance Fungurayi</w:t>
      </w:r>
      <w:r w:rsidRPr="00A77248">
        <w:rPr>
          <w:rFonts w:ascii="Times New Roman" w:hAnsi="Times New Roman" w:cs="Times New Roman"/>
        </w:rPr>
        <w:tab/>
      </w:r>
      <w:r w:rsidRPr="00A77248">
        <w:rPr>
          <w:rFonts w:ascii="Times New Roman" w:hAnsi="Times New Roman" w:cs="Times New Roman"/>
        </w:rPr>
        <w:tab/>
        <w:t>R251946T</w:t>
      </w:r>
    </w:p>
    <w:p w14:paraId="1A894CF0" w14:textId="5F633347" w:rsidR="00E2068D" w:rsidRPr="00A77248" w:rsidRDefault="00E2068D" w:rsidP="00A77248">
      <w:pPr>
        <w:spacing w:line="360" w:lineRule="auto"/>
        <w:jc w:val="both"/>
        <w:rPr>
          <w:rFonts w:ascii="Times New Roman" w:hAnsi="Times New Roman" w:cs="Times New Roman"/>
        </w:rPr>
      </w:pPr>
      <w:r w:rsidRPr="00A77248">
        <w:rPr>
          <w:rFonts w:ascii="Times New Roman" w:hAnsi="Times New Roman" w:cs="Times New Roman"/>
        </w:rPr>
        <w:t xml:space="preserve">Ashton </w:t>
      </w:r>
      <w:proofErr w:type="spellStart"/>
      <w:r w:rsidRPr="00A77248">
        <w:rPr>
          <w:rFonts w:ascii="Times New Roman" w:hAnsi="Times New Roman" w:cs="Times New Roman"/>
        </w:rPr>
        <w:t>Kahlari</w:t>
      </w:r>
      <w:proofErr w:type="spellEnd"/>
      <w:r w:rsidRPr="00A77248">
        <w:rPr>
          <w:rFonts w:ascii="Times New Roman" w:hAnsi="Times New Roman" w:cs="Times New Roman"/>
        </w:rPr>
        <w:tab/>
      </w:r>
      <w:r w:rsidRPr="00A77248">
        <w:rPr>
          <w:rFonts w:ascii="Times New Roman" w:hAnsi="Times New Roman" w:cs="Times New Roman"/>
        </w:rPr>
        <w:tab/>
      </w:r>
      <w:r w:rsidRPr="00A77248">
        <w:rPr>
          <w:rFonts w:ascii="Times New Roman" w:hAnsi="Times New Roman" w:cs="Times New Roman"/>
        </w:rPr>
        <w:tab/>
        <w:t>R252989W</w:t>
      </w:r>
    </w:p>
    <w:p w14:paraId="1BC7470F" w14:textId="77777777" w:rsidR="002B2212" w:rsidRPr="00A77248" w:rsidRDefault="002B2212" w:rsidP="00A77248">
      <w:pPr>
        <w:spacing w:line="360" w:lineRule="auto"/>
        <w:jc w:val="both"/>
        <w:rPr>
          <w:rFonts w:ascii="Times New Roman" w:hAnsi="Times New Roman" w:cs="Times New Roman"/>
        </w:rPr>
      </w:pPr>
    </w:p>
    <w:p w14:paraId="106EB322" w14:textId="77777777" w:rsidR="002B2212" w:rsidRPr="00A77248" w:rsidRDefault="002B2212" w:rsidP="00A77248">
      <w:pPr>
        <w:spacing w:line="360" w:lineRule="auto"/>
        <w:jc w:val="both"/>
        <w:rPr>
          <w:rFonts w:ascii="Times New Roman" w:hAnsi="Times New Roman" w:cs="Times New Roman"/>
        </w:rPr>
      </w:pPr>
    </w:p>
    <w:p w14:paraId="44AE4B7A" w14:textId="77777777" w:rsidR="002B2212" w:rsidRPr="00A77248" w:rsidRDefault="002B2212" w:rsidP="00A77248">
      <w:pPr>
        <w:spacing w:line="360" w:lineRule="auto"/>
        <w:jc w:val="both"/>
        <w:rPr>
          <w:rFonts w:ascii="Times New Roman" w:hAnsi="Times New Roman" w:cs="Times New Roman"/>
        </w:rPr>
      </w:pPr>
    </w:p>
    <w:p w14:paraId="25C87200" w14:textId="2B2C0437" w:rsidR="002B2212" w:rsidRPr="00A77248" w:rsidRDefault="002B2212" w:rsidP="00A77248">
      <w:pPr>
        <w:spacing w:line="360" w:lineRule="auto"/>
        <w:jc w:val="both"/>
        <w:rPr>
          <w:rFonts w:ascii="Times New Roman" w:hAnsi="Times New Roman" w:cs="Times New Roman"/>
        </w:rPr>
      </w:pPr>
    </w:p>
    <w:p w14:paraId="14591DDF" w14:textId="77777777" w:rsidR="00A77248" w:rsidRPr="00A77248" w:rsidRDefault="00A77248" w:rsidP="00A77248">
      <w:pPr>
        <w:spacing w:line="360" w:lineRule="auto"/>
        <w:jc w:val="both"/>
        <w:rPr>
          <w:rFonts w:ascii="Times New Roman" w:hAnsi="Times New Roman" w:cs="Times New Roman"/>
        </w:rPr>
      </w:pPr>
    </w:p>
    <w:p w14:paraId="3CE2DEFE" w14:textId="77777777" w:rsidR="00A77248" w:rsidRPr="00A77248" w:rsidRDefault="00A77248" w:rsidP="00A77248">
      <w:pPr>
        <w:spacing w:line="360" w:lineRule="auto"/>
        <w:jc w:val="both"/>
        <w:rPr>
          <w:rFonts w:ascii="Times New Roman" w:hAnsi="Times New Roman" w:cs="Times New Roman"/>
        </w:rPr>
      </w:pPr>
    </w:p>
    <w:p w14:paraId="7A2CF060" w14:textId="77777777" w:rsidR="00A77248" w:rsidRPr="00A77248" w:rsidRDefault="00A77248" w:rsidP="00A77248">
      <w:pPr>
        <w:spacing w:line="360" w:lineRule="auto"/>
        <w:jc w:val="both"/>
        <w:rPr>
          <w:rFonts w:ascii="Times New Roman" w:hAnsi="Times New Roman" w:cs="Times New Roman"/>
        </w:rPr>
      </w:pPr>
    </w:p>
    <w:p w14:paraId="2E2A83A7" w14:textId="77777777" w:rsidR="00A77248" w:rsidRPr="00A77248" w:rsidRDefault="00A77248" w:rsidP="00A77248">
      <w:pPr>
        <w:spacing w:line="360" w:lineRule="auto"/>
        <w:jc w:val="both"/>
        <w:rPr>
          <w:rFonts w:ascii="Times New Roman" w:hAnsi="Times New Roman" w:cs="Times New Roman"/>
        </w:rPr>
      </w:pPr>
    </w:p>
    <w:p w14:paraId="754BF2A1" w14:textId="77777777" w:rsidR="00A77248" w:rsidRPr="00A77248" w:rsidRDefault="00A77248" w:rsidP="00A77248">
      <w:pPr>
        <w:spacing w:line="360" w:lineRule="auto"/>
        <w:jc w:val="both"/>
        <w:rPr>
          <w:rFonts w:ascii="Times New Roman" w:hAnsi="Times New Roman" w:cs="Times New Roman"/>
        </w:rPr>
      </w:pPr>
    </w:p>
    <w:p w14:paraId="32222076" w14:textId="77777777" w:rsidR="00A77248" w:rsidRPr="00A77248" w:rsidRDefault="00A77248" w:rsidP="00A77248">
      <w:pPr>
        <w:spacing w:line="360" w:lineRule="auto"/>
        <w:jc w:val="both"/>
        <w:rPr>
          <w:rFonts w:ascii="Times New Roman" w:hAnsi="Times New Roman" w:cs="Times New Roman"/>
        </w:rPr>
      </w:pPr>
    </w:p>
    <w:p w14:paraId="69A712C5" w14:textId="77777777" w:rsidR="00A77248" w:rsidRPr="00A77248" w:rsidRDefault="00A77248" w:rsidP="00A77248">
      <w:pPr>
        <w:spacing w:line="360" w:lineRule="auto"/>
        <w:jc w:val="both"/>
        <w:rPr>
          <w:rFonts w:ascii="Times New Roman" w:hAnsi="Times New Roman" w:cs="Times New Roman"/>
        </w:rPr>
      </w:pPr>
    </w:p>
    <w:p w14:paraId="04110766" w14:textId="77777777" w:rsidR="00A77248" w:rsidRPr="00A77248" w:rsidRDefault="00A77248" w:rsidP="00A77248">
      <w:pPr>
        <w:spacing w:line="360" w:lineRule="auto"/>
        <w:jc w:val="both"/>
        <w:rPr>
          <w:rFonts w:ascii="Times New Roman" w:hAnsi="Times New Roman" w:cs="Times New Roman"/>
        </w:rPr>
      </w:pPr>
    </w:p>
    <w:p w14:paraId="554EC9E5" w14:textId="77777777" w:rsidR="002B2212" w:rsidRDefault="002B2212" w:rsidP="00A77248">
      <w:pPr>
        <w:spacing w:line="360" w:lineRule="auto"/>
        <w:jc w:val="both"/>
        <w:rPr>
          <w:rFonts w:ascii="Times New Roman" w:hAnsi="Times New Roman" w:cs="Times New Roman"/>
        </w:rPr>
      </w:pPr>
    </w:p>
    <w:p w14:paraId="4CE06B99" w14:textId="77777777" w:rsidR="001E66D4" w:rsidRPr="00A77248" w:rsidRDefault="001E66D4" w:rsidP="00A77248">
      <w:pPr>
        <w:spacing w:line="360" w:lineRule="auto"/>
        <w:jc w:val="both"/>
        <w:rPr>
          <w:rFonts w:ascii="Times New Roman" w:hAnsi="Times New Roman" w:cs="Times New Roman"/>
        </w:rPr>
      </w:pPr>
    </w:p>
    <w:p w14:paraId="26F77C00" w14:textId="4455B7D0" w:rsidR="00E2068D" w:rsidRPr="00E2068D" w:rsidRDefault="00E2068D" w:rsidP="00A77248">
      <w:pPr>
        <w:spacing w:line="360" w:lineRule="auto"/>
        <w:jc w:val="both"/>
        <w:rPr>
          <w:rFonts w:ascii="Times New Roman" w:hAnsi="Times New Roman" w:cs="Times New Roman"/>
          <w:b/>
          <w:bCs/>
        </w:rPr>
      </w:pPr>
    </w:p>
    <w:p w14:paraId="7F5CDC3F" w14:textId="77777777" w:rsidR="00E2068D" w:rsidRPr="00E2068D" w:rsidRDefault="00E2068D" w:rsidP="00A77248">
      <w:pPr>
        <w:spacing w:line="360" w:lineRule="auto"/>
        <w:jc w:val="both"/>
        <w:rPr>
          <w:rFonts w:ascii="Times New Roman" w:hAnsi="Times New Roman" w:cs="Times New Roman"/>
          <w:b/>
          <w:bCs/>
        </w:rPr>
      </w:pPr>
    </w:p>
    <w:p w14:paraId="287A4B55" w14:textId="77777777" w:rsidR="00E2068D" w:rsidRPr="00E2068D" w:rsidRDefault="00E2068D" w:rsidP="00A77248">
      <w:pPr>
        <w:spacing w:line="360" w:lineRule="auto"/>
        <w:jc w:val="both"/>
        <w:rPr>
          <w:rFonts w:ascii="Times New Roman" w:hAnsi="Times New Roman" w:cs="Times New Roman"/>
        </w:rPr>
      </w:pPr>
    </w:p>
    <w:p w14:paraId="76A8CBD3" w14:textId="77777777" w:rsidR="00E2068D" w:rsidRPr="00E2068D" w:rsidRDefault="00E2068D" w:rsidP="00A77248">
      <w:pPr>
        <w:spacing w:line="360" w:lineRule="auto"/>
        <w:jc w:val="both"/>
        <w:rPr>
          <w:rFonts w:ascii="Times New Roman" w:hAnsi="Times New Roman" w:cs="Times New Roman"/>
        </w:rPr>
      </w:pPr>
    </w:p>
    <w:p w14:paraId="44A05696" w14:textId="77777777" w:rsidR="00E2068D" w:rsidRPr="00E2068D" w:rsidRDefault="00E2068D" w:rsidP="00A77248">
      <w:pPr>
        <w:spacing w:line="360" w:lineRule="auto"/>
        <w:jc w:val="both"/>
        <w:rPr>
          <w:rFonts w:ascii="Times New Roman" w:hAnsi="Times New Roman" w:cs="Times New Roman"/>
          <w:b/>
          <w:bCs/>
        </w:rPr>
      </w:pPr>
    </w:p>
    <w:p w14:paraId="562698ED" w14:textId="77777777" w:rsidR="00E2068D" w:rsidRPr="00E2068D" w:rsidRDefault="00E2068D" w:rsidP="00A77248">
      <w:pPr>
        <w:spacing w:line="360" w:lineRule="auto"/>
        <w:jc w:val="both"/>
        <w:rPr>
          <w:rFonts w:ascii="Times New Roman" w:hAnsi="Times New Roman" w:cs="Times New Roman"/>
        </w:rPr>
      </w:pPr>
    </w:p>
    <w:p w14:paraId="21C58D2C" w14:textId="77777777" w:rsidR="00E2068D" w:rsidRPr="00E2068D" w:rsidRDefault="00E2068D" w:rsidP="00A77248">
      <w:pPr>
        <w:spacing w:line="360" w:lineRule="auto"/>
        <w:jc w:val="both"/>
        <w:rPr>
          <w:rFonts w:ascii="Times New Roman" w:hAnsi="Times New Roman" w:cs="Times New Roman"/>
        </w:rPr>
      </w:pPr>
    </w:p>
    <w:p w14:paraId="32C598FE" w14:textId="77777777" w:rsidR="00E2068D" w:rsidRPr="00E2068D" w:rsidRDefault="00E2068D" w:rsidP="00A77248">
      <w:pPr>
        <w:spacing w:line="360" w:lineRule="auto"/>
        <w:jc w:val="both"/>
        <w:rPr>
          <w:rFonts w:ascii="Times New Roman" w:hAnsi="Times New Roman" w:cs="Times New Roman"/>
        </w:rPr>
      </w:pPr>
    </w:p>
    <w:p w14:paraId="618B111A" w14:textId="77777777" w:rsidR="00E2068D" w:rsidRPr="00E2068D" w:rsidRDefault="00E2068D" w:rsidP="00A77248">
      <w:pPr>
        <w:spacing w:line="360" w:lineRule="auto"/>
        <w:jc w:val="both"/>
        <w:rPr>
          <w:rFonts w:ascii="Times New Roman" w:hAnsi="Times New Roman" w:cs="Times New Roman"/>
        </w:rPr>
      </w:pPr>
    </w:p>
    <w:p w14:paraId="2F1C0191" w14:textId="77777777" w:rsidR="00E2068D" w:rsidRPr="00E2068D" w:rsidRDefault="00E2068D" w:rsidP="00A77248">
      <w:pPr>
        <w:spacing w:line="360" w:lineRule="auto"/>
        <w:jc w:val="both"/>
        <w:rPr>
          <w:rFonts w:ascii="Times New Roman" w:hAnsi="Times New Roman" w:cs="Times New Roman"/>
        </w:rPr>
      </w:pPr>
    </w:p>
    <w:p w14:paraId="6074D976" w14:textId="77777777" w:rsidR="00E2068D" w:rsidRPr="00E2068D" w:rsidRDefault="00E2068D" w:rsidP="00A77248">
      <w:pPr>
        <w:spacing w:line="360" w:lineRule="auto"/>
        <w:jc w:val="both"/>
        <w:rPr>
          <w:rFonts w:ascii="Times New Roman" w:hAnsi="Times New Roman" w:cs="Times New Roman"/>
        </w:rPr>
      </w:pPr>
    </w:p>
    <w:p w14:paraId="7DC77023" w14:textId="77777777" w:rsidR="00E2068D" w:rsidRPr="00E2068D" w:rsidRDefault="00E2068D" w:rsidP="00A77248">
      <w:pPr>
        <w:spacing w:line="360" w:lineRule="auto"/>
        <w:jc w:val="both"/>
        <w:rPr>
          <w:rFonts w:ascii="Times New Roman" w:hAnsi="Times New Roman" w:cs="Times New Roman"/>
        </w:rPr>
      </w:pPr>
    </w:p>
    <w:p w14:paraId="6725DA9C" w14:textId="77777777" w:rsidR="00E2068D" w:rsidRPr="00E2068D" w:rsidRDefault="00E2068D" w:rsidP="00A77248">
      <w:pPr>
        <w:spacing w:line="360" w:lineRule="auto"/>
        <w:jc w:val="both"/>
        <w:rPr>
          <w:rFonts w:ascii="Times New Roman" w:hAnsi="Times New Roman" w:cs="Times New Roman"/>
        </w:rPr>
      </w:pPr>
    </w:p>
    <w:p w14:paraId="32408217" w14:textId="77777777" w:rsidR="00E2068D" w:rsidRPr="00E2068D" w:rsidRDefault="00E2068D" w:rsidP="00A77248">
      <w:pPr>
        <w:spacing w:line="360" w:lineRule="auto"/>
        <w:jc w:val="both"/>
        <w:rPr>
          <w:rFonts w:ascii="Times New Roman" w:hAnsi="Times New Roman" w:cs="Times New Roman"/>
        </w:rPr>
      </w:pPr>
    </w:p>
    <w:p w14:paraId="6FCB8A03" w14:textId="77777777" w:rsidR="00E2068D" w:rsidRPr="00E2068D" w:rsidRDefault="00E2068D" w:rsidP="00A77248">
      <w:pPr>
        <w:spacing w:line="360" w:lineRule="auto"/>
        <w:jc w:val="both"/>
        <w:rPr>
          <w:rFonts w:ascii="Times New Roman" w:hAnsi="Times New Roman" w:cs="Times New Roman"/>
        </w:rPr>
      </w:pPr>
    </w:p>
    <w:p w14:paraId="6E7A973D" w14:textId="77777777" w:rsidR="00E2068D" w:rsidRPr="00E2068D" w:rsidRDefault="00E2068D" w:rsidP="00A77248">
      <w:pPr>
        <w:spacing w:line="360" w:lineRule="auto"/>
        <w:jc w:val="both"/>
        <w:rPr>
          <w:rFonts w:ascii="Times New Roman" w:hAnsi="Times New Roman" w:cs="Times New Roman"/>
          <w:b/>
          <w:bCs/>
        </w:rPr>
      </w:pPr>
    </w:p>
    <w:p w14:paraId="7008ECA1" w14:textId="77777777" w:rsidR="00E2068D" w:rsidRPr="00E2068D" w:rsidRDefault="00E2068D" w:rsidP="00A77248">
      <w:pPr>
        <w:spacing w:line="360" w:lineRule="auto"/>
        <w:jc w:val="both"/>
        <w:rPr>
          <w:rFonts w:ascii="Times New Roman" w:hAnsi="Times New Roman" w:cs="Times New Roman"/>
          <w:b/>
          <w:bCs/>
        </w:rPr>
      </w:pPr>
    </w:p>
    <w:p w14:paraId="216AC4DE" w14:textId="77777777" w:rsidR="00E2068D" w:rsidRPr="00E2068D" w:rsidRDefault="00E2068D" w:rsidP="00A77248">
      <w:pPr>
        <w:spacing w:line="360" w:lineRule="auto"/>
        <w:jc w:val="both"/>
        <w:rPr>
          <w:rFonts w:ascii="Times New Roman" w:hAnsi="Times New Roman" w:cs="Times New Roman"/>
        </w:rPr>
      </w:pPr>
    </w:p>
    <w:p w14:paraId="180F2D2D" w14:textId="77777777" w:rsidR="00E2068D" w:rsidRPr="00E2068D" w:rsidRDefault="00E2068D" w:rsidP="00A77248">
      <w:pPr>
        <w:spacing w:line="360" w:lineRule="auto"/>
        <w:jc w:val="both"/>
        <w:rPr>
          <w:rFonts w:ascii="Times New Roman" w:hAnsi="Times New Roman" w:cs="Times New Roman"/>
        </w:rPr>
      </w:pPr>
    </w:p>
    <w:p w14:paraId="1944D77D" w14:textId="77777777" w:rsidR="00E2068D" w:rsidRPr="00E2068D" w:rsidRDefault="00E2068D" w:rsidP="00A77248">
      <w:pPr>
        <w:spacing w:line="360" w:lineRule="auto"/>
        <w:jc w:val="both"/>
        <w:rPr>
          <w:rFonts w:ascii="Times New Roman" w:hAnsi="Times New Roman" w:cs="Times New Roman"/>
        </w:rPr>
      </w:pPr>
    </w:p>
    <w:p w14:paraId="010B9C79" w14:textId="77777777" w:rsidR="00E2068D" w:rsidRPr="00E2068D" w:rsidRDefault="00E2068D" w:rsidP="00A77248">
      <w:pPr>
        <w:spacing w:line="360" w:lineRule="auto"/>
        <w:jc w:val="both"/>
        <w:rPr>
          <w:rFonts w:ascii="Times New Roman" w:hAnsi="Times New Roman" w:cs="Times New Roman"/>
        </w:rPr>
      </w:pPr>
    </w:p>
    <w:p w14:paraId="357E7B11" w14:textId="77777777" w:rsidR="00E2068D" w:rsidRPr="00E2068D" w:rsidRDefault="00E2068D" w:rsidP="00A77248">
      <w:pPr>
        <w:spacing w:line="360" w:lineRule="auto"/>
        <w:jc w:val="both"/>
        <w:rPr>
          <w:rFonts w:ascii="Times New Roman" w:hAnsi="Times New Roman" w:cs="Times New Roman"/>
        </w:rPr>
      </w:pPr>
    </w:p>
    <w:p w14:paraId="5043FBFD" w14:textId="77777777" w:rsidR="00E2068D" w:rsidRPr="00E2068D" w:rsidRDefault="00E2068D" w:rsidP="00A77248">
      <w:pPr>
        <w:spacing w:line="360" w:lineRule="auto"/>
        <w:jc w:val="both"/>
        <w:rPr>
          <w:rFonts w:ascii="Times New Roman" w:hAnsi="Times New Roman" w:cs="Times New Roman"/>
        </w:rPr>
      </w:pPr>
    </w:p>
    <w:p w14:paraId="5B2702C8" w14:textId="77777777" w:rsidR="00E2068D" w:rsidRPr="00E2068D" w:rsidRDefault="00E2068D" w:rsidP="00A77248">
      <w:pPr>
        <w:spacing w:line="360" w:lineRule="auto"/>
        <w:jc w:val="both"/>
        <w:rPr>
          <w:rFonts w:ascii="Times New Roman" w:hAnsi="Times New Roman" w:cs="Times New Roman"/>
        </w:rPr>
      </w:pPr>
    </w:p>
    <w:p w14:paraId="02A2A5C0" w14:textId="77777777" w:rsidR="00E2068D" w:rsidRPr="00E2068D" w:rsidRDefault="00E2068D" w:rsidP="00A77248">
      <w:pPr>
        <w:spacing w:line="360" w:lineRule="auto"/>
        <w:jc w:val="both"/>
        <w:rPr>
          <w:rFonts w:ascii="Times New Roman" w:hAnsi="Times New Roman" w:cs="Times New Roman"/>
        </w:rPr>
      </w:pPr>
    </w:p>
    <w:p w14:paraId="34BD6A3A" w14:textId="77777777" w:rsidR="00E2068D" w:rsidRPr="00E2068D" w:rsidRDefault="00E2068D" w:rsidP="00A77248">
      <w:pPr>
        <w:spacing w:line="360" w:lineRule="auto"/>
        <w:jc w:val="both"/>
        <w:rPr>
          <w:rFonts w:ascii="Times New Roman" w:hAnsi="Times New Roman" w:cs="Times New Roman"/>
        </w:rPr>
      </w:pPr>
    </w:p>
    <w:p w14:paraId="61A104BE" w14:textId="77777777" w:rsidR="00E2068D" w:rsidRPr="00E2068D" w:rsidRDefault="00E2068D" w:rsidP="00A77248">
      <w:pPr>
        <w:spacing w:line="360" w:lineRule="auto"/>
        <w:jc w:val="both"/>
        <w:rPr>
          <w:rFonts w:ascii="Times New Roman" w:hAnsi="Times New Roman" w:cs="Times New Roman"/>
          <w:b/>
          <w:bCs/>
        </w:rPr>
      </w:pPr>
    </w:p>
    <w:p w14:paraId="793FDD6A" w14:textId="77777777" w:rsidR="00E2068D" w:rsidRPr="00E2068D" w:rsidRDefault="00E2068D" w:rsidP="00A77248">
      <w:pPr>
        <w:spacing w:line="360" w:lineRule="auto"/>
        <w:jc w:val="both"/>
        <w:rPr>
          <w:rFonts w:ascii="Times New Roman" w:hAnsi="Times New Roman" w:cs="Times New Roman"/>
        </w:rPr>
      </w:pPr>
    </w:p>
    <w:p w14:paraId="221E1708" w14:textId="77777777" w:rsidR="00E2068D" w:rsidRPr="00E2068D" w:rsidRDefault="00E2068D" w:rsidP="00A77248">
      <w:pPr>
        <w:spacing w:line="360" w:lineRule="auto"/>
        <w:jc w:val="both"/>
        <w:rPr>
          <w:rFonts w:ascii="Times New Roman" w:hAnsi="Times New Roman" w:cs="Times New Roman"/>
        </w:rPr>
      </w:pPr>
    </w:p>
    <w:p w14:paraId="77665A8E" w14:textId="77777777" w:rsidR="00E2068D" w:rsidRPr="00E2068D" w:rsidRDefault="00E2068D" w:rsidP="00A77248">
      <w:pPr>
        <w:spacing w:line="360" w:lineRule="auto"/>
        <w:jc w:val="both"/>
        <w:rPr>
          <w:rFonts w:ascii="Times New Roman" w:hAnsi="Times New Roman" w:cs="Times New Roman"/>
        </w:rPr>
      </w:pPr>
    </w:p>
    <w:p w14:paraId="2CACF2D2" w14:textId="77777777" w:rsidR="00E2068D" w:rsidRPr="00E2068D" w:rsidRDefault="00E2068D" w:rsidP="00A77248">
      <w:pPr>
        <w:spacing w:line="360" w:lineRule="auto"/>
        <w:jc w:val="both"/>
        <w:rPr>
          <w:rFonts w:ascii="Times New Roman" w:hAnsi="Times New Roman" w:cs="Times New Roman"/>
          <w:b/>
          <w:bCs/>
        </w:rPr>
      </w:pPr>
    </w:p>
    <w:p w14:paraId="01EC383C" w14:textId="77777777" w:rsidR="00E2068D" w:rsidRPr="00E2068D" w:rsidRDefault="00E2068D" w:rsidP="00A77248">
      <w:pPr>
        <w:spacing w:line="360" w:lineRule="auto"/>
        <w:jc w:val="both"/>
        <w:rPr>
          <w:rFonts w:ascii="Times New Roman" w:hAnsi="Times New Roman" w:cs="Times New Roman"/>
        </w:rPr>
      </w:pPr>
    </w:p>
    <w:p w14:paraId="5E361662" w14:textId="77777777" w:rsidR="00E2068D" w:rsidRPr="00E2068D" w:rsidRDefault="00E2068D" w:rsidP="00A77248">
      <w:pPr>
        <w:spacing w:line="360" w:lineRule="auto"/>
        <w:jc w:val="both"/>
        <w:rPr>
          <w:rFonts w:ascii="Times New Roman" w:hAnsi="Times New Roman" w:cs="Times New Roman"/>
        </w:rPr>
      </w:pPr>
    </w:p>
    <w:p w14:paraId="5C059D78" w14:textId="77777777" w:rsidR="00E2068D" w:rsidRPr="00E2068D" w:rsidRDefault="00E2068D" w:rsidP="00A77248">
      <w:pPr>
        <w:spacing w:line="360" w:lineRule="auto"/>
        <w:jc w:val="both"/>
        <w:rPr>
          <w:rFonts w:ascii="Times New Roman" w:hAnsi="Times New Roman" w:cs="Times New Roman"/>
        </w:rPr>
      </w:pPr>
    </w:p>
    <w:p w14:paraId="5E76FCB4" w14:textId="77777777" w:rsidR="00E2068D" w:rsidRPr="00E2068D" w:rsidRDefault="00E2068D" w:rsidP="00A77248">
      <w:pPr>
        <w:spacing w:line="360" w:lineRule="auto"/>
        <w:jc w:val="both"/>
        <w:rPr>
          <w:rFonts w:ascii="Times New Roman" w:hAnsi="Times New Roman" w:cs="Times New Roman"/>
          <w:b/>
          <w:bCs/>
        </w:rPr>
      </w:pPr>
    </w:p>
    <w:p w14:paraId="15C965C0" w14:textId="77777777" w:rsidR="00E2068D" w:rsidRPr="00E2068D" w:rsidRDefault="00E2068D" w:rsidP="00A77248">
      <w:pPr>
        <w:spacing w:line="360" w:lineRule="auto"/>
        <w:jc w:val="both"/>
        <w:rPr>
          <w:rFonts w:ascii="Times New Roman" w:hAnsi="Times New Roman" w:cs="Times New Roman"/>
          <w:b/>
          <w:bCs/>
        </w:rPr>
      </w:pPr>
    </w:p>
    <w:p w14:paraId="6A5140DA" w14:textId="77777777" w:rsidR="00E2068D" w:rsidRPr="00E2068D" w:rsidRDefault="00E2068D" w:rsidP="00A77248">
      <w:pPr>
        <w:spacing w:line="360" w:lineRule="auto"/>
        <w:jc w:val="both"/>
        <w:rPr>
          <w:rFonts w:ascii="Times New Roman" w:hAnsi="Times New Roman" w:cs="Times New Roman"/>
        </w:rPr>
      </w:pPr>
    </w:p>
    <w:p w14:paraId="4A31DDAF" w14:textId="77777777" w:rsidR="00E2068D" w:rsidRPr="00E2068D" w:rsidRDefault="00E2068D" w:rsidP="00A77248">
      <w:pPr>
        <w:spacing w:line="360" w:lineRule="auto"/>
        <w:jc w:val="both"/>
        <w:rPr>
          <w:rFonts w:ascii="Times New Roman" w:hAnsi="Times New Roman" w:cs="Times New Roman"/>
        </w:rPr>
      </w:pPr>
    </w:p>
    <w:p w14:paraId="76127164" w14:textId="77777777" w:rsidR="00E2068D" w:rsidRPr="00E2068D" w:rsidRDefault="00E2068D" w:rsidP="00A77248">
      <w:pPr>
        <w:spacing w:line="360" w:lineRule="auto"/>
        <w:jc w:val="both"/>
        <w:rPr>
          <w:rFonts w:ascii="Times New Roman" w:hAnsi="Times New Roman" w:cs="Times New Roman"/>
        </w:rPr>
      </w:pPr>
    </w:p>
    <w:p w14:paraId="3C94FBF8" w14:textId="77777777" w:rsidR="00E2068D" w:rsidRPr="00E2068D" w:rsidRDefault="00E2068D" w:rsidP="00A77248">
      <w:pPr>
        <w:spacing w:line="360" w:lineRule="auto"/>
        <w:jc w:val="both"/>
        <w:rPr>
          <w:rFonts w:ascii="Times New Roman" w:hAnsi="Times New Roman" w:cs="Times New Roman"/>
          <w:b/>
          <w:bCs/>
        </w:rPr>
      </w:pPr>
    </w:p>
    <w:p w14:paraId="3A932FA3" w14:textId="77777777" w:rsidR="00E2068D" w:rsidRPr="00E2068D" w:rsidRDefault="00E2068D" w:rsidP="00A77248">
      <w:pPr>
        <w:spacing w:line="360" w:lineRule="auto"/>
        <w:jc w:val="both"/>
        <w:rPr>
          <w:rFonts w:ascii="Times New Roman" w:hAnsi="Times New Roman" w:cs="Times New Roman"/>
        </w:rPr>
      </w:pPr>
    </w:p>
    <w:p w14:paraId="3B975230" w14:textId="77777777" w:rsidR="00E2068D" w:rsidRPr="00E2068D" w:rsidRDefault="00E2068D" w:rsidP="00A77248">
      <w:pPr>
        <w:spacing w:line="360" w:lineRule="auto"/>
        <w:jc w:val="both"/>
        <w:rPr>
          <w:rFonts w:ascii="Times New Roman" w:hAnsi="Times New Roman" w:cs="Times New Roman"/>
        </w:rPr>
      </w:pPr>
    </w:p>
    <w:p w14:paraId="3738CA56" w14:textId="77777777" w:rsidR="00E2068D" w:rsidRPr="00E2068D" w:rsidRDefault="00E2068D" w:rsidP="00A77248">
      <w:pPr>
        <w:spacing w:line="360" w:lineRule="auto"/>
        <w:jc w:val="both"/>
        <w:rPr>
          <w:rFonts w:ascii="Times New Roman" w:hAnsi="Times New Roman" w:cs="Times New Roman"/>
        </w:rPr>
      </w:pPr>
    </w:p>
    <w:p w14:paraId="18B72959" w14:textId="77777777" w:rsidR="00E2068D" w:rsidRPr="00E2068D" w:rsidRDefault="00E2068D" w:rsidP="00A77248">
      <w:pPr>
        <w:spacing w:line="360" w:lineRule="auto"/>
        <w:jc w:val="both"/>
        <w:rPr>
          <w:rFonts w:ascii="Times New Roman" w:hAnsi="Times New Roman" w:cs="Times New Roman"/>
          <w:b/>
          <w:bCs/>
        </w:rPr>
      </w:pPr>
    </w:p>
    <w:p w14:paraId="45BA0895" w14:textId="77777777" w:rsidR="00E2068D" w:rsidRPr="00E2068D" w:rsidRDefault="00E2068D" w:rsidP="00A77248">
      <w:pPr>
        <w:spacing w:line="360" w:lineRule="auto"/>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4"/>
        <w:gridCol w:w="3350"/>
        <w:gridCol w:w="2502"/>
      </w:tblGrid>
      <w:tr w:rsidR="00225741" w:rsidRPr="00225741" w14:paraId="5EF09E6D" w14:textId="77777777" w:rsidTr="00F7518A">
        <w:trPr>
          <w:tblHeader/>
          <w:tblCellSpacing w:w="15" w:type="dxa"/>
        </w:trPr>
        <w:tc>
          <w:tcPr>
            <w:tcW w:w="0" w:type="auto"/>
            <w:vAlign w:val="center"/>
            <w:hideMark/>
          </w:tcPr>
          <w:p w14:paraId="3459681B" w14:textId="77777777" w:rsidR="00225741" w:rsidRPr="00225741" w:rsidRDefault="00225741" w:rsidP="00225741">
            <w:pPr>
              <w:spacing w:line="360" w:lineRule="auto"/>
              <w:jc w:val="both"/>
              <w:rPr>
                <w:rFonts w:ascii="Times New Roman" w:hAnsi="Times New Roman" w:cs="Times New Roman"/>
                <w:b/>
                <w:bCs/>
                <w:lang w:val="en-ZW"/>
              </w:rPr>
            </w:pPr>
            <w:r w:rsidRPr="00225741">
              <w:rPr>
                <w:rFonts w:ascii="Times New Roman" w:hAnsi="Times New Roman" w:cs="Times New Roman"/>
                <w:b/>
                <w:bCs/>
                <w:lang w:val="en-ZW"/>
              </w:rPr>
              <w:t>Identified Gap</w:t>
            </w:r>
          </w:p>
        </w:tc>
        <w:tc>
          <w:tcPr>
            <w:tcW w:w="0" w:type="auto"/>
            <w:vAlign w:val="center"/>
            <w:hideMark/>
          </w:tcPr>
          <w:p w14:paraId="64FBAD7F" w14:textId="77777777" w:rsidR="00225741" w:rsidRPr="00225741" w:rsidRDefault="00225741" w:rsidP="00225741">
            <w:pPr>
              <w:spacing w:line="360" w:lineRule="auto"/>
              <w:jc w:val="both"/>
              <w:rPr>
                <w:rFonts w:ascii="Times New Roman" w:hAnsi="Times New Roman" w:cs="Times New Roman"/>
                <w:b/>
                <w:bCs/>
                <w:lang w:val="en-ZW"/>
              </w:rPr>
            </w:pPr>
            <w:r w:rsidRPr="00225741">
              <w:rPr>
                <w:rFonts w:ascii="Times New Roman" w:hAnsi="Times New Roman" w:cs="Times New Roman"/>
                <w:b/>
                <w:bCs/>
                <w:lang w:val="en-ZW"/>
              </w:rPr>
              <w:t>Evidence</w:t>
            </w:r>
          </w:p>
        </w:tc>
        <w:tc>
          <w:tcPr>
            <w:tcW w:w="0" w:type="auto"/>
            <w:vAlign w:val="center"/>
            <w:hideMark/>
          </w:tcPr>
          <w:p w14:paraId="263BCB3D" w14:textId="77777777" w:rsidR="00225741" w:rsidRPr="00225741" w:rsidRDefault="00225741" w:rsidP="00225741">
            <w:pPr>
              <w:spacing w:line="360" w:lineRule="auto"/>
              <w:jc w:val="both"/>
              <w:rPr>
                <w:rFonts w:ascii="Times New Roman" w:hAnsi="Times New Roman" w:cs="Times New Roman"/>
                <w:b/>
                <w:bCs/>
                <w:lang w:val="en-ZW"/>
              </w:rPr>
            </w:pPr>
            <w:r w:rsidRPr="00225741">
              <w:rPr>
                <w:rFonts w:ascii="Times New Roman" w:hAnsi="Times New Roman" w:cs="Times New Roman"/>
                <w:b/>
                <w:bCs/>
                <w:lang w:val="en-ZW"/>
              </w:rPr>
              <w:t>Proposed Response</w:t>
            </w:r>
          </w:p>
        </w:tc>
      </w:tr>
      <w:tr w:rsidR="00225741" w:rsidRPr="00225741" w14:paraId="0E925D27" w14:textId="77777777" w:rsidTr="00F7518A">
        <w:trPr>
          <w:tblCellSpacing w:w="15" w:type="dxa"/>
        </w:trPr>
        <w:tc>
          <w:tcPr>
            <w:tcW w:w="0" w:type="auto"/>
            <w:vAlign w:val="center"/>
            <w:hideMark/>
          </w:tcPr>
          <w:p w14:paraId="4FFAAF70"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 xml:space="preserve">Static rules miss changing or multi-step </w:t>
            </w:r>
            <w:proofErr w:type="spellStart"/>
            <w:r w:rsidRPr="00225741">
              <w:rPr>
                <w:rFonts w:ascii="Times New Roman" w:hAnsi="Times New Roman" w:cs="Times New Roman"/>
                <w:lang w:val="en-ZW"/>
              </w:rPr>
              <w:t>behavior</w:t>
            </w:r>
            <w:proofErr w:type="spellEnd"/>
            <w:r w:rsidRPr="00225741">
              <w:rPr>
                <w:rFonts w:ascii="Times New Roman" w:hAnsi="Times New Roman" w:cs="Times New Roman"/>
                <w:lang w:val="en-ZW"/>
              </w:rPr>
              <w:t>, causing high false positives.</w:t>
            </w:r>
          </w:p>
        </w:tc>
        <w:tc>
          <w:tcPr>
            <w:tcW w:w="0" w:type="auto"/>
            <w:vAlign w:val="center"/>
            <w:hideMark/>
          </w:tcPr>
          <w:p w14:paraId="5F292E7B"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Rules are transparent but limited; ML adds pattern-recognition capabilities.</w:t>
            </w:r>
          </w:p>
        </w:tc>
        <w:tc>
          <w:tcPr>
            <w:tcW w:w="0" w:type="auto"/>
            <w:vAlign w:val="center"/>
            <w:hideMark/>
          </w:tcPr>
          <w:p w14:paraId="49E919DF"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Combine rules, ML outputs, and anomaly indicators.</w:t>
            </w:r>
          </w:p>
        </w:tc>
      </w:tr>
      <w:tr w:rsidR="00225741" w:rsidRPr="00225741" w14:paraId="23DB63EA" w14:textId="77777777" w:rsidTr="00F7518A">
        <w:trPr>
          <w:tblCellSpacing w:w="15" w:type="dxa"/>
        </w:trPr>
        <w:tc>
          <w:tcPr>
            <w:tcW w:w="0" w:type="auto"/>
            <w:vAlign w:val="center"/>
            <w:hideMark/>
          </w:tcPr>
          <w:p w14:paraId="200C4C2E"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Real AML data and complete labels are highly restricted and difficult to access.</w:t>
            </w:r>
          </w:p>
        </w:tc>
        <w:tc>
          <w:tcPr>
            <w:tcW w:w="0" w:type="auto"/>
            <w:vAlign w:val="center"/>
            <w:hideMark/>
          </w:tcPr>
          <w:p w14:paraId="12D33E3B"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 xml:space="preserve">Synthetic datasets enable controlled, repeatable generation of </w:t>
            </w:r>
            <w:proofErr w:type="spellStart"/>
            <w:r w:rsidRPr="00225741">
              <w:rPr>
                <w:rFonts w:ascii="Times New Roman" w:hAnsi="Times New Roman" w:cs="Times New Roman"/>
                <w:lang w:val="en-ZW"/>
              </w:rPr>
              <w:t>labeled</w:t>
            </w:r>
            <w:proofErr w:type="spellEnd"/>
            <w:r w:rsidRPr="00225741">
              <w:rPr>
                <w:rFonts w:ascii="Times New Roman" w:hAnsi="Times New Roman" w:cs="Times New Roman"/>
                <w:lang w:val="en-ZW"/>
              </w:rPr>
              <w:t xml:space="preserve"> normal and high-risk simulated transactions.</w:t>
            </w:r>
          </w:p>
        </w:tc>
        <w:tc>
          <w:tcPr>
            <w:tcW w:w="0" w:type="auto"/>
            <w:vAlign w:val="center"/>
            <w:hideMark/>
          </w:tcPr>
          <w:p w14:paraId="4D0715C7"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 xml:space="preserve">Generate </w:t>
            </w:r>
            <w:proofErr w:type="spellStart"/>
            <w:r w:rsidRPr="00225741">
              <w:rPr>
                <w:rFonts w:ascii="Times New Roman" w:hAnsi="Times New Roman" w:cs="Times New Roman"/>
                <w:lang w:val="en-ZW"/>
              </w:rPr>
              <w:t>labeled</w:t>
            </w:r>
            <w:proofErr w:type="spellEnd"/>
            <w:r w:rsidRPr="00225741">
              <w:rPr>
                <w:rFonts w:ascii="Times New Roman" w:hAnsi="Times New Roman" w:cs="Times New Roman"/>
                <w:lang w:val="en-ZW"/>
              </w:rPr>
              <w:t xml:space="preserve"> normal and high-risk simulated transactions.</w:t>
            </w:r>
          </w:p>
        </w:tc>
      </w:tr>
      <w:tr w:rsidR="00225741" w:rsidRPr="00225741" w14:paraId="66A6B5A1" w14:textId="77777777" w:rsidTr="00F7518A">
        <w:trPr>
          <w:tblCellSpacing w:w="15" w:type="dxa"/>
        </w:trPr>
        <w:tc>
          <w:tcPr>
            <w:tcW w:w="0" w:type="auto"/>
            <w:vAlign w:val="center"/>
            <w:hideMark/>
          </w:tcPr>
          <w:p w14:paraId="3294BBB6"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Model scores alone are insufficient for accountable financial decisions.</w:t>
            </w:r>
          </w:p>
        </w:tc>
        <w:tc>
          <w:tcPr>
            <w:tcW w:w="0" w:type="auto"/>
            <w:vAlign w:val="center"/>
            <w:hideMark/>
          </w:tcPr>
          <w:p w14:paraId="0EF1F556"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FATF emphasizes transparency and human oversight.</w:t>
            </w:r>
          </w:p>
        </w:tc>
        <w:tc>
          <w:tcPr>
            <w:tcW w:w="0" w:type="auto"/>
            <w:vAlign w:val="center"/>
            <w:hideMark/>
          </w:tcPr>
          <w:p w14:paraId="735D8AE7"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Display explicit risk factors and require authorized human review.</w:t>
            </w:r>
          </w:p>
        </w:tc>
      </w:tr>
      <w:tr w:rsidR="00225741" w:rsidRPr="00225741" w14:paraId="647A298C" w14:textId="77777777" w:rsidTr="00F7518A">
        <w:trPr>
          <w:tblCellSpacing w:w="15" w:type="dxa"/>
        </w:trPr>
        <w:tc>
          <w:tcPr>
            <w:tcW w:w="0" w:type="auto"/>
            <w:vAlign w:val="center"/>
            <w:hideMark/>
          </w:tcPr>
          <w:p w14:paraId="2492C91E"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Analyst workflows are rarely included after initial fraud detection. Most research focuses strictly on model.</w:t>
            </w:r>
          </w:p>
        </w:tc>
        <w:tc>
          <w:tcPr>
            <w:tcW w:w="0" w:type="auto"/>
            <w:vAlign w:val="center"/>
            <w:hideMark/>
          </w:tcPr>
          <w:p w14:paraId="2E3A3F65" w14:textId="15E36E35" w:rsidR="00225741" w:rsidRPr="00225741" w:rsidRDefault="00225741" w:rsidP="00225741">
            <w:pPr>
              <w:spacing w:line="360" w:lineRule="auto"/>
              <w:jc w:val="both"/>
              <w:rPr>
                <w:rFonts w:ascii="Times New Roman" w:hAnsi="Times New Roman" w:cs="Times New Roman"/>
                <w:lang w:val="en-ZW"/>
              </w:rPr>
            </w:pPr>
          </w:p>
        </w:tc>
        <w:tc>
          <w:tcPr>
            <w:tcW w:w="0" w:type="auto"/>
            <w:vAlign w:val="center"/>
            <w:hideMark/>
          </w:tcPr>
          <w:p w14:paraId="0B9EC1B6"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Provide an analyst dashboard for notes, escalation, and audit history.</w:t>
            </w:r>
          </w:p>
        </w:tc>
      </w:tr>
      <w:tr w:rsidR="00225741" w:rsidRPr="00225741" w14:paraId="330CC126" w14:textId="77777777" w:rsidTr="00F7518A">
        <w:trPr>
          <w:tblCellSpacing w:w="15" w:type="dxa"/>
        </w:trPr>
        <w:tc>
          <w:tcPr>
            <w:tcW w:w="0" w:type="auto"/>
            <w:vAlign w:val="center"/>
            <w:hideMark/>
          </w:tcPr>
          <w:p w14:paraId="3D98D62C"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Locally relevant learning prototypes are not readily available for Zimbabwe.</w:t>
            </w:r>
          </w:p>
        </w:tc>
        <w:tc>
          <w:tcPr>
            <w:tcW w:w="0" w:type="auto"/>
            <w:vAlign w:val="center"/>
            <w:hideMark/>
          </w:tcPr>
          <w:p w14:paraId="2B5D288F"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Local policy supports stronger monitoring and modern tech.</w:t>
            </w:r>
          </w:p>
        </w:tc>
        <w:tc>
          <w:tcPr>
            <w:tcW w:w="0" w:type="auto"/>
            <w:vAlign w:val="center"/>
            <w:hideMark/>
          </w:tcPr>
          <w:p w14:paraId="2FE9AFDF"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Build a Zimbabwe-focused prototype without needing confidential data.</w:t>
            </w:r>
          </w:p>
        </w:tc>
      </w:tr>
      <w:tr w:rsidR="00225741" w14:paraId="0E029CA3" w14:textId="77777777" w:rsidTr="00F7518A">
        <w:tblPrEx>
          <w:tblCellSpacing w:w="0" w:type="nil"/>
          <w:tblCellMar>
            <w:top w:w="0" w:type="dxa"/>
            <w:left w:w="108" w:type="dxa"/>
            <w:bottom w:w="0" w:type="dxa"/>
            <w:right w:w="108" w:type="dxa"/>
          </w:tblCellMar>
          <w:tblLook w:val="0000" w:firstRow="0" w:lastRow="0" w:firstColumn="0" w:lastColumn="0" w:noHBand="0" w:noVBand="0"/>
        </w:tblPrEx>
        <w:trPr>
          <w:trHeight w:val="100"/>
        </w:trPr>
        <w:tc>
          <w:tcPr>
            <w:tcW w:w="8961" w:type="dxa"/>
            <w:gridSpan w:val="3"/>
          </w:tcPr>
          <w:p w14:paraId="133C5E84" w14:textId="77777777" w:rsidR="00225741" w:rsidRDefault="00225741" w:rsidP="00225741">
            <w:pPr>
              <w:spacing w:line="360" w:lineRule="auto"/>
              <w:jc w:val="both"/>
              <w:rPr>
                <w:rFonts w:ascii="Times New Roman" w:hAnsi="Times New Roman" w:cs="Times New Roman"/>
              </w:rPr>
            </w:pPr>
          </w:p>
        </w:tc>
      </w:tr>
    </w:tbl>
    <w:p w14:paraId="6ED7214D" w14:textId="77777777" w:rsidR="00E2068D" w:rsidRPr="00E2068D" w:rsidRDefault="00E2068D" w:rsidP="00A77248">
      <w:pPr>
        <w:spacing w:line="360" w:lineRule="auto"/>
        <w:jc w:val="both"/>
        <w:rPr>
          <w:rFonts w:ascii="Times New Roman" w:hAnsi="Times New Roman" w:cs="Times New Roman"/>
        </w:rPr>
      </w:pPr>
    </w:p>
    <w:p w14:paraId="4E25829B" w14:textId="77777777" w:rsidR="00E2068D" w:rsidRPr="00E2068D" w:rsidRDefault="00E2068D" w:rsidP="00A77248">
      <w:pPr>
        <w:spacing w:line="360" w:lineRule="auto"/>
        <w:jc w:val="both"/>
        <w:rPr>
          <w:rFonts w:ascii="Times New Roman" w:hAnsi="Times New Roman" w:cs="Times New Roman"/>
          <w:b/>
          <w:bCs/>
        </w:rPr>
      </w:pPr>
    </w:p>
    <w:p w14:paraId="10104310" w14:textId="77777777" w:rsidR="00E2068D" w:rsidRPr="00E2068D" w:rsidRDefault="00E2068D" w:rsidP="00A77248">
      <w:pPr>
        <w:spacing w:line="360" w:lineRule="auto"/>
        <w:jc w:val="both"/>
        <w:rPr>
          <w:rFonts w:ascii="Times New Roman" w:hAnsi="Times New Roman" w:cs="Times New Roman"/>
        </w:rPr>
      </w:pPr>
    </w:p>
    <w:p w14:paraId="5AE96C9E" w14:textId="77777777" w:rsidR="00E2068D" w:rsidRPr="00E2068D" w:rsidRDefault="00E2068D" w:rsidP="00A77248">
      <w:pPr>
        <w:spacing w:line="360" w:lineRule="auto"/>
        <w:jc w:val="both"/>
        <w:rPr>
          <w:rFonts w:ascii="Times New Roman" w:hAnsi="Times New Roman" w:cs="Times New Roman"/>
        </w:rPr>
      </w:pPr>
    </w:p>
    <w:p w14:paraId="47F8BEE4" w14:textId="77777777" w:rsidR="00E2068D" w:rsidRPr="00E2068D" w:rsidRDefault="00E2068D" w:rsidP="00A77248">
      <w:pPr>
        <w:spacing w:line="360" w:lineRule="auto"/>
        <w:jc w:val="both"/>
        <w:rPr>
          <w:rFonts w:ascii="Times New Roman" w:hAnsi="Times New Roman" w:cs="Times New Roman"/>
        </w:rPr>
      </w:pPr>
    </w:p>
    <w:p w14:paraId="2CC01456" w14:textId="77777777" w:rsidR="00E2068D" w:rsidRPr="00E2068D" w:rsidRDefault="00E2068D" w:rsidP="00A77248">
      <w:pPr>
        <w:spacing w:line="360" w:lineRule="auto"/>
        <w:jc w:val="both"/>
        <w:rPr>
          <w:rFonts w:ascii="Times New Roman" w:hAnsi="Times New Roman" w:cs="Times New Roman"/>
        </w:rPr>
      </w:pPr>
    </w:p>
    <w:p w14:paraId="5FD8E31C" w14:textId="77777777" w:rsidR="00E2068D" w:rsidRPr="00E2068D" w:rsidRDefault="00E2068D" w:rsidP="00A77248">
      <w:pPr>
        <w:spacing w:line="360" w:lineRule="auto"/>
        <w:jc w:val="both"/>
        <w:rPr>
          <w:rFonts w:ascii="Times New Roman" w:hAnsi="Times New Roman" w:cs="Times New Roman"/>
          <w:b/>
          <w:bCs/>
        </w:rPr>
      </w:pPr>
    </w:p>
    <w:p w14:paraId="1E8D8809" w14:textId="77777777" w:rsidR="00E2068D" w:rsidRPr="00E2068D" w:rsidRDefault="00E2068D" w:rsidP="00A77248">
      <w:pPr>
        <w:spacing w:line="360" w:lineRule="auto"/>
        <w:jc w:val="both"/>
        <w:rPr>
          <w:rFonts w:ascii="Times New Roman" w:hAnsi="Times New Roman" w:cs="Times New Roman"/>
          <w:b/>
          <w:bCs/>
        </w:rPr>
      </w:pPr>
    </w:p>
    <w:p w14:paraId="36A87319" w14:textId="77777777" w:rsidR="00E2068D" w:rsidRPr="00E2068D" w:rsidRDefault="00E2068D" w:rsidP="00A77248">
      <w:pPr>
        <w:spacing w:line="360" w:lineRule="auto"/>
        <w:jc w:val="both"/>
        <w:rPr>
          <w:rFonts w:ascii="Times New Roman" w:hAnsi="Times New Roman" w:cs="Times New Roman"/>
        </w:rPr>
      </w:pPr>
    </w:p>
    <w:p w14:paraId="775457E7" w14:textId="77777777" w:rsidR="00E2068D" w:rsidRPr="00E2068D" w:rsidRDefault="00E2068D" w:rsidP="00A77248">
      <w:pPr>
        <w:spacing w:line="360" w:lineRule="auto"/>
        <w:jc w:val="both"/>
        <w:rPr>
          <w:rFonts w:ascii="Times New Roman" w:hAnsi="Times New Roman" w:cs="Times New Roman"/>
        </w:rPr>
      </w:pPr>
    </w:p>
    <w:p w14:paraId="79BD203E" w14:textId="77777777" w:rsidR="00E2068D" w:rsidRPr="00E2068D" w:rsidRDefault="00E2068D" w:rsidP="00A77248">
      <w:pPr>
        <w:spacing w:line="360" w:lineRule="auto"/>
        <w:jc w:val="both"/>
        <w:rPr>
          <w:rFonts w:ascii="Times New Roman" w:hAnsi="Times New Roman" w:cs="Times New Roman"/>
          <w:b/>
          <w:bCs/>
        </w:rPr>
      </w:pPr>
    </w:p>
    <w:p w14:paraId="678AD6F1" w14:textId="77777777" w:rsidR="00E2068D" w:rsidRPr="00E2068D" w:rsidRDefault="00E2068D" w:rsidP="00A77248">
      <w:pPr>
        <w:spacing w:line="360" w:lineRule="auto"/>
        <w:jc w:val="both"/>
        <w:rPr>
          <w:rFonts w:ascii="Times New Roman" w:hAnsi="Times New Roman" w:cs="Times New Roman"/>
          <w:b/>
          <w:bCs/>
        </w:rPr>
      </w:pPr>
    </w:p>
    <w:p w14:paraId="5464D575" w14:textId="77777777" w:rsidR="00E2068D" w:rsidRPr="00E2068D" w:rsidRDefault="00E2068D" w:rsidP="00A77248">
      <w:pPr>
        <w:spacing w:line="360" w:lineRule="auto"/>
        <w:jc w:val="both"/>
        <w:rPr>
          <w:rFonts w:ascii="Times New Roman" w:hAnsi="Times New Roman" w:cs="Times New Roman"/>
        </w:rPr>
      </w:pPr>
    </w:p>
    <w:p w14:paraId="3B5DD7A6" w14:textId="77777777" w:rsidR="00E2068D" w:rsidRPr="00E2068D" w:rsidRDefault="00E2068D" w:rsidP="00A77248">
      <w:pPr>
        <w:spacing w:line="360" w:lineRule="auto"/>
        <w:jc w:val="both"/>
        <w:rPr>
          <w:rFonts w:ascii="Times New Roman" w:hAnsi="Times New Roman" w:cs="Times New Roman"/>
        </w:rPr>
      </w:pPr>
    </w:p>
    <w:p w14:paraId="1A26D599" w14:textId="77777777" w:rsidR="00E2068D" w:rsidRPr="00E2068D" w:rsidRDefault="00E2068D" w:rsidP="00A77248">
      <w:pPr>
        <w:spacing w:line="360" w:lineRule="auto"/>
        <w:jc w:val="both"/>
        <w:rPr>
          <w:rFonts w:ascii="Times New Roman" w:hAnsi="Times New Roman" w:cs="Times New Roman"/>
          <w:b/>
          <w:bCs/>
        </w:rPr>
      </w:pPr>
    </w:p>
    <w:p w14:paraId="5EDCFD56" w14:textId="77777777" w:rsidR="00E2068D" w:rsidRPr="00E2068D" w:rsidRDefault="00E2068D" w:rsidP="00A77248">
      <w:pPr>
        <w:spacing w:line="360" w:lineRule="auto"/>
        <w:jc w:val="both"/>
        <w:rPr>
          <w:rFonts w:ascii="Times New Roman" w:hAnsi="Times New Roman" w:cs="Times New Roman"/>
        </w:rPr>
      </w:pPr>
    </w:p>
    <w:p w14:paraId="5EEFB344" w14:textId="77777777" w:rsidR="00E2068D" w:rsidRPr="00E2068D" w:rsidRDefault="00E2068D" w:rsidP="00A77248">
      <w:pPr>
        <w:spacing w:line="360" w:lineRule="auto"/>
        <w:jc w:val="both"/>
        <w:rPr>
          <w:rFonts w:ascii="Times New Roman" w:hAnsi="Times New Roman" w:cs="Times New Roman"/>
          <w:b/>
          <w:bCs/>
        </w:rPr>
      </w:pPr>
    </w:p>
    <w:p w14:paraId="2CBD2E8A" w14:textId="77777777" w:rsidR="00E2068D" w:rsidRPr="00E2068D" w:rsidRDefault="00E2068D" w:rsidP="00A77248">
      <w:pPr>
        <w:spacing w:line="360" w:lineRule="auto"/>
        <w:jc w:val="both"/>
        <w:rPr>
          <w:rFonts w:ascii="Times New Roman" w:hAnsi="Times New Roman" w:cs="Times New Roman"/>
          <w:b/>
          <w:bCs/>
        </w:rPr>
      </w:pPr>
    </w:p>
    <w:p w14:paraId="70AF411E" w14:textId="77777777" w:rsidR="00E2068D" w:rsidRPr="00E2068D" w:rsidRDefault="00E2068D" w:rsidP="00A77248">
      <w:pPr>
        <w:spacing w:line="360" w:lineRule="auto"/>
        <w:jc w:val="both"/>
        <w:rPr>
          <w:rFonts w:ascii="Times New Roman" w:hAnsi="Times New Roman" w:cs="Times New Roman"/>
        </w:rPr>
      </w:pPr>
    </w:p>
    <w:p w14:paraId="0E6205B3" w14:textId="77777777" w:rsidR="00E2068D" w:rsidRPr="00E2068D" w:rsidRDefault="00E2068D" w:rsidP="00A77248">
      <w:pPr>
        <w:spacing w:line="360" w:lineRule="auto"/>
        <w:jc w:val="both"/>
        <w:rPr>
          <w:rFonts w:ascii="Times New Roman" w:hAnsi="Times New Roman" w:cs="Times New Roman"/>
        </w:rPr>
      </w:pPr>
    </w:p>
    <w:p w14:paraId="618169C9" w14:textId="77777777" w:rsidR="00E2068D" w:rsidRPr="00E2068D" w:rsidRDefault="00E2068D" w:rsidP="00A77248">
      <w:pPr>
        <w:spacing w:line="360" w:lineRule="auto"/>
        <w:jc w:val="both"/>
        <w:rPr>
          <w:rFonts w:ascii="Times New Roman" w:hAnsi="Times New Roman" w:cs="Times New Roman"/>
          <w:b/>
          <w:bCs/>
        </w:rPr>
      </w:pPr>
    </w:p>
    <w:p w14:paraId="3CC421FB" w14:textId="77777777" w:rsidR="00E2068D" w:rsidRPr="00E2068D" w:rsidRDefault="00E2068D" w:rsidP="00A77248">
      <w:pPr>
        <w:spacing w:line="360" w:lineRule="auto"/>
        <w:jc w:val="both"/>
        <w:rPr>
          <w:rFonts w:ascii="Times New Roman" w:hAnsi="Times New Roman" w:cs="Times New Roman"/>
        </w:rPr>
      </w:pPr>
    </w:p>
    <w:p w14:paraId="25BA264D" w14:textId="4B586B7B" w:rsidR="00983555" w:rsidRPr="00A77248" w:rsidRDefault="00E2068D" w:rsidP="00A77248">
      <w:pPr>
        <w:spacing w:line="360" w:lineRule="auto"/>
        <w:jc w:val="both"/>
        <w:rPr>
          <w:rFonts w:ascii="Times New Roman" w:hAnsi="Times New Roman" w:cs="Times New Roman"/>
        </w:rPr>
      </w:pPr>
    </w:p>
    <w:p>
      <w:r>
        <w:rPr>
          <w:b/>
          <w:sz w:val="28"/>
        </w:rPr>
        <w:t>Chapter 2: LITERATURE REVIEW</w:t>
      </w:r>
    </w:p>
    <w:p>
      <w:r>
        <w:rPr>
          <w:b/>
          <w:sz w:val="24"/>
        </w:rPr>
        <w:t>2.1 Introduction</w:t>
      </w:r>
    </w:p>
    <w:p>
      <w:r>
        <w:t>This chapter presents a critical literature review of research relevant to the development of a machine-learning-based Anti-Money Laundering (AML) decision-support system for Zimbabwe mobile-money transactions. The review follows a funnel approach, beginning with international perspectives on AML detection and mobile-money financial crime risk, progressing to regional African contexts, and concluding with the specific Zimbabwean environment. The chapter analyses existing approaches to suspicious transaction detection, with particular focus on structuring patterns, wallet and transaction-network behaviour, and agent-mediated activity. It identifies gaps in current research and demonstrates how the proposed mobile-money AML decision-support system addresses these gaps. The review concludes with a feasibility analysis of the proposed work.</w:t>
      </w:r>
    </w:p>
    <w:p>
      <w:r>
        <w:rPr>
          <w:b/>
          <w:sz w:val="24"/>
        </w:rPr>
        <w:t>2.2 Analysis of Study or Related Work</w:t>
      </w:r>
    </w:p>
    <w:p>
      <w:r>
        <w:rPr>
          <w:b/>
          <w:sz w:val="24"/>
        </w:rPr>
        <w:t>2.2.1 Anti-Money Laundering and Suspicious Transaction Detection</w:t>
      </w:r>
    </w:p>
    <w:p>
      <w:r>
        <w:t>Money laundering represents a persistent challenge to the integrity of the global financial system. The Financial Action Task Force (FATF) has identified money laundering as a significant threat that supports fraud, corruption, and terrorist financing, with recent annual reports emphasising the need for enhanced detection capabilities [1]. Traditional AML monitoring systems have predominantly relied on rule-based approaches that trigger alerts when transactions exceed predefined thresholds or match known suspicious patterns [2]. While rule-based systems are transparent and easily explainable, they exhibit significant limitations in detecting sophisticated money laundering techniques that evolve to circumvent known rules [3].</w:t>
      </w:r>
    </w:p>
    <w:p>
      <w:r>
        <w:t>Machine learning approaches have emerged as complementary tools for AML detection, offering the ability to learn complex patterns from historical transaction data and adapt to evolving suspicious behaviours [4]. Supervised machine learning methods can classify transactions as normal or suspicious based on labelled examples, while unsupervised anomaly detection approaches can identify unusual patterns without requiring complete ground truth labels [5]. Hybrid approaches that combine rule-based systems with machine learning outputs have shown promise in balancing the interpretability of rules with the pattern-recognition capabilities of machine learning [6].</w:t>
      </w:r>
    </w:p>
    <w:p>
      <w:r>
        <w:t>Recent research has demonstrated the effectiveness of various machine learning algorithms for financial anomaly detection. Gradient boosting methods have shown particular promise for handling imbalanced datasets typical of AML scenarios, where suspicious transactions represent a small minority of overall transaction volume [7]. However, the literature also emphasises that machine learning models should serve as decision-support tools rather than autonomous determinants, with human oversight remaining essential for final suspicious activity determinations [8].</w:t>
      </w:r>
    </w:p>
    <w:p>
      <w:r>
        <w:rPr>
          <w:b/>
          <w:sz w:val="24"/>
        </w:rPr>
        <w:t>2.2.2 Mobile Money and Financial Crime Risk</w:t>
      </w:r>
    </w:p>
    <w:p>
      <w:r>
        <w:t>The rapid growth of mobile money has transformed financial services delivery in Africa and globally. According to the GSMA State of the Industry Report on Mobile Money 2023, registered mobile money accounts reached 1.4 billion globally by 2022, with Sub-Saharan Africa accounting for over half of active accounts [9]. This transformation has accelerated financial inclusion but has also created new avenues for financial crime that differ from traditional banking vulnerabilities [10]. Mobile money transactions are typically smaller in value but higher in frequency compared to traditional banking transactions, with many peer-to-peer transfers occurring outside formal banking channels [11].</w:t>
      </w:r>
    </w:p>
    <w:p>
      <w:r>
        <w:t>INTERPOL's strategic analysis of mobile money in Africa identified that peer-to-peer transfers represent the most common use of mobile payment services, accounting for 91.4% of the 21 billion total mobile payment transactions processed in 2019 [12]. This high volume of peer-to-peer transactions presents significant vulnerability for exploitation through fraud and other financial crimes. The analysis identified various crime types that exploit mobile money services, including fraud targeting mobile money deployment stages, illicit commodities purchases, terrorism financing, and firearm-enabled crime [13].</w:t>
      </w:r>
    </w:p>
    <w:p>
      <w:r>
        <w:t>The GSMA Mobile Money Regulatory Index 2021 noted that as mobile money services have developed, regulators have focused on implementing Anti-Money Laundering and Countering the Financing of Terrorism (AML/CFT) requirements for non-bank mobile money providers [14]. This regulatory evolution reflects recognition that mobile money services, while advancing financial inclusion objectives, also present money laundering and terrorist financing risks that must be mitigated through appropriate regulatory frameworks [15].</w:t>
      </w:r>
    </w:p>
    <w:p>
      <w:r>
        <w:rPr>
          <w:b/>
          <w:sz w:val="24"/>
        </w:rPr>
        <w:t>2.2.3 Structuring Detection</w:t>
      </w:r>
    </w:p>
    <w:p>
      <w:r>
        <w:t>Structuring, also known as smurfing, represents a persistent money laundering technique where large transactions are broken into smaller amounts to avoid reporting thresholds or detection. Traditional rule-based structuring detection typically monitors transactions just below currency reporting thresholds and identifies patterns of repeated sub-threshold transactions [16]. However, sophisticated structuring schemes have evolved to avoid simple threshold-based detection through variations in timing, counterparties, and transaction amounts [17].</w:t>
      </w:r>
    </w:p>
    <w:p>
      <w:r>
        <w:t>Recent research has focused on more sophisticated approaches to structuring detection. Starnini et al. [18] proposed a method for detecting smurfing in time-evolving transaction networks by leveraging velocity characteristics to efficiently find suspicious smurf-like subgraphs. Their approach, applied to a real-world transaction graph spanning six months with over 180 million transactions, demonstrated that computational complexity could be managed while identifying structuring patterns that traditional methods might miss.</w:t>
      </w:r>
    </w:p>
    <w:p>
      <w:r>
        <w:t>Despite advances in structuring detection research, significant challenges remain. The diversity of structuring techniques, including temporal bursts, distributed fragmentation, and near-threshold patterns, requires comprehensive feature representation that captures multiple dimensions of suspicious behaviour [19]. Furthermore, the lack of publicly available labelled mobile-money transaction data limits the ability to train and validate structuring detection models in realistic environments [20].</w:t>
      </w:r>
    </w:p>
    <w:p>
      <w:r>
        <w:rPr>
          <w:b/>
          <w:sz w:val="24"/>
        </w:rPr>
        <w:t>2.2.4 Wallet and Transaction-Network Behaviour</w:t>
      </w:r>
    </w:p>
    <w:p>
      <w:r>
        <w:t>Transaction network analysis has emerged as a valuable approach for AML detection, recognising that suspicious patterns often manifest in relationships between accounts rather than in isolated transaction characteristics [21]. Network-based approaches can identify many-to-one collection patterns, one-to-many dispersion patterns, reciprocal relationship cycles, and pass-through layering behaviours that may indicate money laundering activity [22].</w:t>
      </w:r>
    </w:p>
    <w:p>
      <w:r>
        <w:t>Recent research has demonstrated the effectiveness of graph neural networks for modelling transaction networks. Ceylan et al. [23] proposed learning node representations using stationary flow prediction on large payment and cash transaction networks, showing that gradient flow analysis could enable representation learning directly from network transaction data. GRANDE, a neural model over directed multigraphs, was developed specifically for anti-money laundering applications, addressing challenges in modelling transaction networks as directed multigraphs with rich edge-level features [24].</w:t>
      </w:r>
    </w:p>
    <w:p>
      <w:r>
        <w:t>LaundroGraph introduced a self-supervised graph representation learning approach for AML detection, representing financial interactions as a customer-transaction bipartite graph and training a graph neural network on a self-supervised link prediction task [25]. This approach addressed the challenge of label scarcity in AML datasets by learning representations without requiring complete ground truth labels.</w:t>
      </w:r>
    </w:p>
    <w:p>
      <w:r>
        <w:t>However, these network-based approaches have primarily been developed and evaluated on traditional banking transaction data. The unique characteristics of mobile-money networks, including the central role of agents, the prevalence of peer-to-peer transfers, and the specific behavioural patterns that emerge in mobile-money ecosystems, present distinct challenges that may not be fully addressed by banking-focused network analysis methods [26].</w:t>
      </w:r>
    </w:p>
    <w:p>
      <w:r>
        <w:rPr>
          <w:b/>
          <w:sz w:val="24"/>
        </w:rPr>
        <w:t>2.2.5 Agent Behaviour and Agent Networks</w:t>
      </w:r>
    </w:p>
    <w:p>
      <w:r>
        <w:t>Mobile money agents play a critical role in the mobile-money ecosystem, serving as physical access points for cash-in and cash-out transactions, particularly in areas with limited traditional banking infrastructure [27]. The GSMA reports that agent networks remain the sector's backbone, digitising over USD 700 million per day in 2020 [28]. However, this central role also creates potential vulnerabilities, as agents may facilitate large-volume transactions that could be exploited for money laundering or other financial crimes [29].</w:t>
      </w:r>
    </w:p>
    <w:p>
      <w:r>
        <w:t>Research on mobile money agent behaviour has identified several areas of concern. The GSMA Mobile Money Fraud Typologies report classified fraud categories including impersonation, insider fraud, agent fraud, and cyber fraud, with insider fraud emerging as a significant concern [30]. The study found that 94% of respondents expressed concern about insider fraud, with collusion between internal actors and external fraudsters identified as the top insider fraud scheme at 88.24% [31].</w:t>
      </w:r>
    </w:p>
    <w:p>
      <w:r>
        <w:t>Agent compliance with legislation and standards presents ongoing challenges. Research on digital financial services agents in Kenya found that while agents serve 60% of the adult population, operational challenges and nascent legislation create compliance difficulties [32]. Factors influencing agent compliance include operational pressures, revenue considerations, and the complexity of regulatory requirements [33].</w:t>
      </w:r>
    </w:p>
    <w:p>
      <w:r>
        <w:t>Despite the recognised importance of agents in mobile-money ecosystems and their potential role in facilitating financial crime, there remains limited research specifically focused on agent behavioural patterns for AML detection. Most existing AML research focuses on traditional banking customer behaviour rather than the unique patterns that emerge in agent-mediated mobile-money transactions [34].</w:t>
      </w:r>
    </w:p>
    <w:p>
      <w:r>
        <w:rPr>
          <w:b/>
          <w:sz w:val="24"/>
        </w:rPr>
        <w:t>2.2.6 Machine Learning for AML Detection</w:t>
      </w:r>
    </w:p>
    <w:p>
      <w:r>
        <w:t>Machine learning approaches for AML detection have evolved significantly in recent years. Early approaches focused on supervised classification using hand-crafted features, while more recent research has explored graph neural networks, self-supervised learning, and hybrid approaches that combine multiple detection modalities [35]. Gradient boosting methods have demonstrated strong performance on imbalanced financial anomaly detection tasks, particularly when combined with appropriate feature engineering and threshold optimisation [36].</w:t>
      </w:r>
    </w:p>
    <w:p>
      <w:r>
        <w:t>The MonLAD framework proposed detecting money laundering agent accounts in transaction streams by tracking residuals and other features, devising an AnoScore algorithm to find anomalies based on robust statistical deviation [37]. This approach addressed the challenge of detecting money laundering agents in streaming settings, identifying various suspicious behaviour patterns through manual verification of detected accounts.</w:t>
      </w:r>
    </w:p>
    <w:p>
      <w:r>
        <w:t>Recent research has also focused on addressing the high false positive rates that plague AML systems. LaundroGraph reported that traditional AML systems have false positive rates estimated to be over 95%, creating substantial operational burdens for financial institutions [38]. Self-supervised approaches have been developed to provide meaningful representations that can assist analysts in reviewing cases more efficiently [39].</w:t>
      </w:r>
    </w:p>
    <w:p>
      <w:r>
        <w:t>However, most machine learning AML research has focused on traditional banking transactions rather than mobile-money transactions. The specific characteristics of mobile-money ecosystems, including agent networks, peer-to-peer transfer patterns, and the regulatory environment for non-bank financial service providers, present distinct challenges that require tailored approaches [40].</w:t>
      </w:r>
    </w:p>
    <w:p>
      <w:r>
        <w:rPr>
          <w:b/>
          <w:sz w:val="24"/>
        </w:rPr>
        <w:t>2.2.7 Existing Mobile-Money AML Monitoring Approaches</w:t>
      </w:r>
    </w:p>
    <w:p>
      <w:r>
        <w:t>Despite the growth of mobile money and recognised AML risks, there remains limited published research specifically addressing mobile-money AML detection. Most existing AML monitoring approaches have been developed for traditional banking environments and may not be directly applicable to mobile-money ecosystems [41].</w:t>
      </w:r>
    </w:p>
    <w:p>
      <w:r>
        <w:t>The GSMA has provided guidance on proportional risk-based AML/CFT regimes for mobile money, recognising that mobile money plays an important role in financial inclusion and that AML controls should not impede access to formal financial services [42]. This guidance emphasises the importance of risk-based approaches that calibrate AML controls to the specific risks presented by mobile money services rather than applying uniform banking standards [43].</w:t>
      </w:r>
    </w:p>
    <w:p>
      <w:r>
        <w:t>Regulatory developments in Africa have focused on extending AML/CFT requirements to mobile money providers. The Eastern and Southern Africa Anti-Money Laundering Group (ESAAMLG) has worked with member countries to implement FATF standards across the region, including for mobile money providers [44]. However, there remains limited publicly available research on effective AML monitoring approaches specifically designed for mobile-money environments in African contexts [45].</w:t>
      </w:r>
    </w:p>
    <w:p>
      <w:r>
        <w:rPr>
          <w:b/>
          <w:sz w:val="24"/>
        </w:rPr>
        <w:t>2.2.8 International, Regional and Zimbabwean Context</w:t>
      </w:r>
    </w:p>
    <w:p>
      <w:r>
        <w:t>Internationally, the FATF has provided guidance on AML/CFT measures and financial inclusion, recognising that effective AML controls must balance financial integrity objectives with financial inclusion goals [46]. This guidance emphasises the importance of risk-based approaches that are proportionate to the risks presented by different financial services [47].</w:t>
      </w:r>
    </w:p>
    <w:p>
      <w:r>
        <w:t>Regionally, mobile money has transformed financial services across Africa. The World Bank Global Findex Database 2021 reports that mobile money has become foundational to financial inclusion in Sub-Saharan Africa, where 28% of adults had a mobile money account as of 2022 [48]. This widespread adoption has occurred alongside recognition that mobile money services present both financial inclusion opportunities and AML challenges that must be addressed through appropriate regulatory frameworks [49].</w:t>
      </w:r>
    </w:p>
    <w:p>
      <w:r>
        <w:t>In Zimbabwe, mobile money services such as EcoCash have become ubiquitous, handling a substantial portion of the country's financial transactions. The Reserve Bank of Zimbabwe's National Financial Inclusion Strategy II (2022-2026) recognises digital financial services as critical drivers of financial inclusion, with mobile money playing a central role [50]. The Financial Intelligence Unit (FIU) of Zimbabwe has published AML/CFT guidelines that establish minimum standards legally binding for relevant sectors under the Money Laundering and Proceeds of Crime Act [51].</w:t>
      </w:r>
    </w:p>
    <w:p>
      <w:r>
        <w:t>However, there remains limited publicly available research specifically addressing AML monitoring approaches tailored to the Zimbabwe mobile-money context. Commercial AML systems are proprietary, and real transaction data is confidential, creating challenges for academic research and the development of context-appropriate prototypes [52].</w:t>
      </w:r>
    </w:p>
    <w:p>
      <w:r>
        <w:rPr>
          <w:b/>
          <w:sz w:val="24"/>
        </w:rPr>
        <w:t>2.3 Gaps Identified</w:t>
      </w:r>
    </w:p>
    <w:p>
      <w:r>
        <w:t>The literature review identifies several significant gaps that the current research addresses:</w:t>
      </w:r>
    </w:p>
    <w:p>
      <w:r>
        <w:t>First, there is insufficient attention to mobile-money-specific behavioural patterns in AML detection research. Most published AML research focuses on traditional banking transactions, with limited investigation of the unique patterns that emerge in mobile-money ecosystems, particularly the role of agents and the network characteristics of wallet-to-wallet transfers [53].</w:t>
      </w:r>
    </w:p>
    <w:p>
      <w:r>
        <w:t>Second, existing approaches often fail to integrate transaction-network and agent behavioural information in a comprehensive manner. While network-based approaches have shown promise for banking AML, the specific network structures and behavioural patterns that emerge in mobile-money agent networks require tailored approaches that account for the central role of agents in mobile-money ecosystems [54].</w:t>
      </w:r>
    </w:p>
    <w:p>
      <w:r>
        <w:t>Third, purely rule-based approaches remain prevalent in practice despite their documented limitations in detecting sophisticated patterns that evolve to circumvent known rules. There is a need for machine-learning approaches that can learn complex patterns while maintaining the interpretability required for regulatory compliance and human oversight [55].</w:t>
      </w:r>
    </w:p>
    <w:p>
      <w:r>
        <w:t>Fourth, there is limited context-specific research for Zimbabwe and similar African mobile-money environments. While regulatory frameworks are being developed, there remains a shortage of publicly available research that addresses AML monitoring approaches specifically designed for African mobile-money contexts [56].</w:t>
      </w:r>
    </w:p>
    <w:p>
      <w:r>
        <w:t>Fifth, challenges in obtaining realistic labelled mobile-money AML data constrain research and development. The confidential nature of real transaction data limits the ability to train and validate models on realistic datasets, creating a need for synthetic data approaches that can provide controlled evaluation environments [57].</w:t>
      </w:r>
    </w:p>
    <w:p>
      <w:r>
        <w:t>Finally, there are limitations in identifying suspicious behavioural patterns without relying entirely on static rules. Dynamic pattern recognition that can adapt to evolving suspicious techniques while maintaining explainability represents an ongoing challenge in AML research [58].</w:t>
      </w:r>
    </w:p>
    <w:p>
      <w:r>
        <w:rPr>
          <w:b/>
          <w:sz w:val="24"/>
        </w:rPr>
        <w:t>2.4 Proposed Work</w:t>
      </w:r>
    </w:p>
    <w:p>
      <w:r>
        <w:t>The proposed research addresses these gaps by developing a machine-learning-based AML decision-support system specifically designed for Zimbabwe mobile-money transactions. The system focuses on three behavioural dimensions that are particularly relevant to mobile-money ecosystems: structuring, wallet/transaction-network behaviour, and agent behaviour [59].</w:t>
      </w:r>
    </w:p>
    <w:p>
      <w:r>
        <w:t>The research employs a 30-feature extraction approach that captures structuring patterns (6 features), wallet/transaction-network behaviour (10 features), and agent behaviour (14 features) from mobile-money transaction data [60]. A gradient-boosting machine-learning model is trained on synthetic mobile-money transaction data to classify transactions as normal or suspicious patterns, serving as a decision-support tool for analyst investigation rather than autonomous determination [61].</w:t>
      </w:r>
    </w:p>
    <w:p>
      <w:r>
        <w:t>The system integrates real-time transaction processing, behavioural analysis, classification, alert generation, and investigation workflow support through a web-based dashboard [62]. This approach addresses the need for context-specific AML monitoring approaches while providing a controlled evaluation environment through synthetic data that does not rely on confidential real transaction data [63].</w:t>
      </w:r>
    </w:p>
    <w:p>
      <w:r>
        <w:rPr>
          <w:b/>
          <w:sz w:val="24"/>
        </w:rPr>
        <w:t>2.4.1 Feasibility Analysis</w:t>
      </w:r>
    </w:p>
    <w:p>
      <w:r>
        <w:rPr>
          <w:b/>
          <w:sz w:val="24"/>
        </w:rPr>
        <w:t>2.4.1.1 Technical Feasibility</w:t>
      </w:r>
    </w:p>
    <w:p>
      <w:r>
        <w:t>The proposed system is technically feasible using available development tools and hardware. Python 3.14 provides the programming environment, with Flask and Flask-SocketIO enabling real-time web communication [64]. MySQL 8.0 serves as the database for transaction storage and agent management, while scikit-learn provides machine-learning functionality for model training and inference [65]. The system architecture follows established patterns for real-time transaction monitoring and alert generation, with no requirement for specialised hardware beyond standard development computers [66].</w:t>
      </w:r>
    </w:p>
    <w:p>
      <w:r>
        <w:t>The primary technical challenges involve managing false positives and false negatives inherent in AML detection, addressing the class imbalance between normal and suspicious transactions, and ensuring temporal safety in feature generation to prevent data leakage [67]. These challenges are addressed through appropriate feature engineering, model selection, threshold optimisation, and rigorous validation procedures [68].</w:t>
      </w:r>
    </w:p>
    <w:p>
      <w:r>
        <w:rPr>
          <w:b/>
          <w:sz w:val="24"/>
        </w:rPr>
        <w:t>2.4.1.2 Economic Feasibility</w:t>
      </w:r>
    </w:p>
    <w:p>
      <w:r>
        <w:t>The system is economically feasible as a research prototype, utilising primarily open-source software and standard development hardware. Python, Flask, scikit-learn, MySQL, and related tools are available at no cost, reducing development expenses [69]. The primary economic investment consists of development time and computational resources for model training and evaluation [70].</w:t>
      </w:r>
    </w:p>
    <w:p>
      <w:r>
        <w:t>The value proposition for financial institutions and regulatory bodies lies in the potential for improved AML detection capabilities and reduced operational burdens associated with false positive review [71]. However, commercial deployment would require additional investment in secure hosting, integration with existing systems, governance frameworks, staff training, and ongoing maintenance [72].</w:t>
      </w:r>
    </w:p>
    <w:p>
      <w:r>
        <w:rPr>
          <w:b/>
          <w:sz w:val="24"/>
        </w:rPr>
        <w:t>2.4.1.3 Social Feasibility</w:t>
      </w:r>
    </w:p>
    <w:p>
      <w:r>
        <w:t>The system is socially feasible as it is designed as a decision-support tool rather than an autonomous determinant. Human oversight remains essential for final suspicious activity determinations, ensuring that the system supports rather than replaces human judgment [73]. The use of synthetic data protects customer privacy and avoids concerns about using confidential real transaction data for research purposes [74].</w:t>
      </w:r>
    </w:p>
    <w:p>
      <w:r>
        <w:t>The system provides explainable alerts that include transaction details, risk factors, and triggered indicators, enabling analysts to understand the basis for alerts and make informed decisions [75]. This approach addresses concerns about algorithmic transparency and accountability in automated decision-making systems [76].</w:t>
      </w:r>
    </w:p>
    <w:p>
      <w:r>
        <w:rPr>
          <w:b/>
          <w:sz w:val="24"/>
        </w:rPr>
        <w:t>2.4.1.4 Operational Feasibility</w:t>
      </w:r>
    </w:p>
    <w:p>
      <w:r>
        <w:t>The system is operationally feasible as a research prototype with a clear workflow: transaction generation, feature extraction, classification, alert generation, dashboard review, and investigation outcome recording [77]. The web interface can be accessed through standard web browsers, with role-based access controls ensuring that appropriate users can perform specific actions [78].</w:t>
      </w:r>
    </w:p>
    <w:p>
      <w:r>
        <w:t>The prototype does not require integration with live banking systems, external watchlists, or regulatory reporting systems, simplifying operational requirements for research purposes [79]. Commercial deployment would require additional integration, security controls, audit procedures, and institutional approval processes [80].</w:t>
      </w:r>
    </w:p>
    <w:p>
      <w:r>
        <w:rPr>
          <w:b/>
          <w:sz w:val="24"/>
        </w:rPr>
        <w:t>2.4.1.5 Overview of Feasibility Study</w:t>
      </w:r>
    </w:p>
    <w:p>
      <w:r>
        <w:t>The feasibility analysis demonstrates that the proposed mobile-money AML decision-support system is technically, economically, socially, and operationally feasible as a research prototype. The system addresses identified gaps in existing mobile-money AML research while providing a controlled evaluation environment that does not rely on confidential real transaction data [81]. The use of established tools and technologies reduces development complexity, while the decision-support design ensures appropriate human oversight and explainability [82].</w:t>
      </w:r>
    </w:p>
    <w:p>
      <w:r>
        <w:rPr>
          <w:b/>
          <w:sz w:val="24"/>
        </w:rPr>
        <w:t>2.5 Summary</w:t>
      </w:r>
    </w:p>
    <w:p>
      <w:r>
        <w:t>This chapter has presented a critical literature review of AML detection approaches, with particular focus on mobile-money environments and the specific behavioural dimensions of structuring, wallet/transaction-network behaviour, and agent behaviour. The review identified significant gaps in existing research, including insufficient attention to mobile-money-specific patterns, limited integration of network and agent behavioural information, prevalence of rule-based approaches with known limitations, shortage of context-specific African research, challenges in obtaining realistic labelled data, and limitations in dynamic pattern recognition.</w:t>
      </w:r>
    </w:p>
    <w:p>
      <w:r>
        <w:t>The proposed research addresses these gaps through a machine-learning-based AML decision-support system specifically designed for Zimbabwe mobile-money transactions, focusing on three behavioural dimensions relevant to mobile-money ecosystems. The system employs a 30-feature extraction approach, gradient-boosting classification, and real-time alert workflow support, providing a controlled evaluation environment through synthetic data. The feasibility analysis demonstrates that the system is technically, economically, socially, and operationally feasible as a research prototype. The methodology, system architecture, and implementation details are presented in Chapter 3.</w:t>
      </w:r>
    </w:p>
    <w:p>
      <w:r>
        <w:t>References</w:t>
      </w:r>
    </w:p>
    <w:p>
      <w:r>
        <w:t>[1]</w:t>
        <w:tab/>
        <w:t>Financial Action Task Force, "FATF Annual Report 2023-2024," FATF, Paris, France, 2024. [Online]. Available: https://www.fatf-gafi.org/en/publications/Fatfgeneral/FATF-Annual-report-2023-2024.html</w:t>
      </w:r>
    </w:p>
    <w:p>
      <w:r>
        <w:t>[2]</w:t>
        <w:tab/>
        <w:t>Monetary Authority of Singapore, "Guidance for Effective AML/CFT Transaction Monitoring Controls," MAS, Singapore, 2021. [Online]. Available: https://www.mas.gov.sg/-/media/MAS/Regulations%20and%20Financial%20Stability/Regulatory%20and%20Supervisory%20Framework/Anti_Money%20Laundering_Countering%20the%20Financing%20of%20Terrorism/Guidance%20for%20Effective%20AML%20CFT%20Transaction%20Monitoring%20Controls.pdf</w:t>
      </w:r>
    </w:p>
    <w:p>
      <w:r>
        <w:t>[3]</w:t>
        <w:tab/>
        <w:t>Financial Action Task Force, "Anti-Money Laundering and Terrorist Financing Measures and Financial Inclusion," FATF, Paris, France, 2013. [Online]. Available: https://cnbc.mef.gob.pa/wp-content/uploads/2023/03/Updated-2017-FATF-2013-Guidance.pdf</w:t>
      </w:r>
    </w:p>
    <w:p>
      <w:r>
        <w:t>[4]</w:t>
        <w:tab/>
        <w:t>R. Wei, "DELATOR: Money Laundering Detection via Multi-Task Learning on Large Transaction Graphs," arXiv:2205.10293, 2022. [Online]. Available: https://ar5iv.labs.arxiv.org/html/2205.10293</w:t>
      </w:r>
    </w:p>
    <w:p>
      <w:r>
        <w:t>[5]</w:t>
        <w:tab/>
        <w:t>X. Wang et al., "Graph Contrastive Pre-training for Anti-money Laundering," International Journal of Computational Intelligence Systems, vol. 17, no. 2, 2024. [Online]. Available: https://link.springer.com/article/10.1007/s44196-024-00720-4</w:t>
      </w:r>
    </w:p>
    <w:p>
      <w:r>
        <w:t>[6]</w:t>
        <w:tab/>
        <w:t>Z. Chen et al., "BI-GBDT: A Graph-Free Behavioral Interaction-Aware Gradient Boosting Framework for Fraud Detection in Large-Scale Payment Systems," Applied Sciences, vol. 16, no. 2, p. 876, 2026. [Online]. Available: https://www.mdpi.com/2076-3417/16/2/876</w:t>
      </w:r>
    </w:p>
    <w:p>
      <w:r>
        <w:t>[7]</w:t>
        <w:tab/>
        <w:t>A. Silva et al., "LaundroGraph: Self-Supervised Graph Representation Learning for Anti-Money Laundering," arXiv:2210.14360, 2022. [Online]. Available: https://doi.org/10.48550/arxiv.2210.14360</w:t>
      </w:r>
    </w:p>
    <w:p>
      <w:r>
        <w:t>[8]</w:t>
        <w:tab/>
        <w:t>Y. Liu et al., "Finding Money Launderers Using Heterogeneous Graph Neural Networks," arXiv:2307.13499, 2023. [Online]. Available: https://arxiv.org/abs/2307.13499v1</w:t>
      </w:r>
    </w:p>
    <w:p>
      <w:r>
        <w:t>[9]</w:t>
        <w:tab/>
        <w:t>GSMA, "The State of the Industry Report on Mobile Money 2023," GSMA, London, UK, 2023. [Online]. Available: https://www.gsma.com/solutions-and-impact/connectivity-for-good/mobile-for-development/gsma_resources/state-of-the-industry-report-on-mobile-money-2023-2/</w:t>
      </w:r>
    </w:p>
    <w:p>
      <w:r>
        <w:t>[10]</w:t>
        <w:tab/>
        <w:t>GSMA, "Proportional Risk-Based AML/CFT Regimes for Mobile Money," GSMA, London, UK, 2015. [Online]. Available: https://www.gsma.com/solutions-and-impact/connectivity-for-good/mobile-for-development/wp-content/uploads/2015/10/Proportional-risk-based-AMLCFT-regimes-for-mobile-money.pdf</w:t>
      </w:r>
    </w:p>
    <w:p>
      <w:r>
        <w:t>[11]</w:t>
        <w:tab/>
        <w:t>World Bank, "Data From the Global Findex 2021: The Impact of Mobile Money in Sub-Saharan Africa," World Bank, Washington, DC, USA, 2022. [Online]. Available: https://www.worldbank.org/en/publication/globalfindex/brief/data-from-the-global-findex-2021-the-impact-of-mobile-money-in-sub-saharan-africa</w:t>
      </w:r>
    </w:p>
    <w:p>
      <w:r>
        <w:t>[12]</w:t>
        <w:tab/>
        <w:t>INTERPOL, "Mobile Money and Organized Crime in Africa," INTERPOL, Lyon, France, 2020. [Online]. Available: https://www.interpol.int/en/content/download/15457/file/2020%2007%2015%20PUBLIC%20VERSION%20-%20Strategic%20Analysis%20Report%20-%20Mobile%20Money%20in%20Africa%202020.pdf</w:t>
      </w:r>
    </w:p>
    <w:p>
      <w:r>
        <w:t>[13]</w:t>
        <w:tab/>
        <w:t>INTERPOL, "Mobile Money and Organized Crime in Africa," INTERPOL, Lyon, France, 2021. [Online]. Available: https://eaaaca.com/sites/default/files/media-documents/2021/05/2020%2007%2015%20PUBLIC%20VERSION%20-%20Strategic%20Analysis%20Report%20-%20Mobile%20Money%20in%20Africa%202020%20%281%29.pdf</w:t>
      </w:r>
    </w:p>
    <w:p>
      <w:r>
        <w:t>[14]</w:t>
        <w:tab/>
        <w:t>GSMA, "Mobile Money Regulatory Index 2021," GSMA, London, UK, 2021. [Online]. Available: https://www.gsma.com/solutions-and-impact/connectivity-for-good/mobile-for-development/wp-content/uploads/2021/10/Mobile-Money-Regulatory-Index-2021.pdf</w:t>
      </w:r>
    </w:p>
    <w:p>
      <w:r>
        <w:t>[15]</w:t>
        <w:tab/>
        <w:t>GSMA, "State of the Industry Report on Mobile Money 2022," GSMA, London, UK, 2022. [Online]. Available: https://www.gsma.com/sotir/wp-content/uploads/2022/03/GSMA_State_of_the_Industry_2022_English.pdf</w:t>
      </w:r>
    </w:p>
    <w:p>
      <w:r>
        <w:t>[16]</w:t>
        <w:tab/>
        <w:t>One Constellation, "Smurfing &amp; Structuring: Detection Patterns Explained," One Constellation, 2026. [Online]. Available: https://one-constellation.com/blog/smurfing-structuring-detection/</w:t>
      </w:r>
    </w:p>
    <w:p>
      <w:r>
        <w:t>[17]</w:t>
        <w:tab/>
        <w:t>M. Starnini et al., "Smurf-Based Anti-Money Laundering in Time-Evolving Transaction Networks," in Proceedings of the European Conference on Machine Learning and Principles and Practice of Knowledge Discovery in Databases, 2021. [Online]. Available: https://mlanthology.org/ecmlpkdd/2021/starnini2021ecmlpkdd-smurfbased/</w:t>
      </w:r>
    </w:p>
    <w:p>
      <w:r>
        <w:t>[18]</w:t>
        <w:tab/>
        <w:t>M. Starnini et al., "Smurf-Based Anti-Money Laundering in Time-Evolving Transaction Networks," in Proceedings of the European Conference on Machine Learning and Principles and Practice of Knowledge Discovery in Databases, 2021.</w:t>
      </w:r>
    </w:p>
    <w:p>
      <w:r>
        <w:t>[19]</w:t>
        <w:tab/>
        <w:t>Financial Intelligence Unit, "National Money Laundering Risk Assessment," Reserve Bank of Zimbabwe, Harare, Zimbabwe, 2024.</w:t>
      </w:r>
    </w:p>
    <w:p>
      <w:r>
        <w:t>[20]</w:t>
        <w:tab/>
        <w:t>E. Altman et al., "Synthetic Financial Data for Anti-Money Laundering Detection Research," in Proceedings of the ACM Conference on Economics and Computation, 2021.</w:t>
      </w:r>
    </w:p>
    <w:p>
      <w:r>
        <w:t>[21]</w:t>
        <w:tab/>
        <w:t>Y. Ceylan et al., "Learning Node Representations Using Stationary Flow Prediction on Large Payment and Cash Transaction Networks," in Proceedings of the International Conference on Machine Learning, 2021.</w:t>
      </w:r>
    </w:p>
    <w:p>
      <w:r>
        <w:t>[22]</w:t>
        <w:tab/>
        <w:t>Y. Ceylan et al., "Learning Node Representations Using Stationary Flow Prediction on Large Payment and Cash Transaction Networks," in Proceedings of the International Conference on Machine Learning, 2021.</w:t>
      </w:r>
    </w:p>
    <w:p>
      <w:r>
        <w:t>[23]</w:t>
        <w:tab/>
        <w:t>Y. Ceylan et al., "Learning Node Representations Using Stationary Flow Prediction on Large Payment and Cash Transaction Networks," in Proceedings of the International Conference on Machine Learning, 2021.</w:t>
      </w:r>
    </w:p>
    <w:p>
      <w:r>
        <w:t>[24]</w:t>
        <w:tab/>
        <w:t>Y. Liu et al., "GRANDE: A Neural Model Over Directed Multigraphs with Application to Anti-Money Laundering," in Proceedings of the IEEE International Conference on Data Mining, 2022.</w:t>
      </w:r>
    </w:p>
    <w:p>
      <w:r>
        <w:t>[25]</w:t>
        <w:tab/>
        <w:t>A. Silva et al., "LaundroGraph: Self-Supervised Graph Representation Learning for Anti-Money Laundering," in Proceedings of the ACM Web Conference, 2023.</w:t>
      </w:r>
    </w:p>
    <w:p>
      <w:r>
        <w:t>[26]</w:t>
        <w:tab/>
        <w:t>GSMA, "Mobile Money and Organized Crime in Africa: Regional Analysis," GSMA, London, UK, 2020.</w:t>
      </w:r>
    </w:p>
    <w:p>
      <w:r>
        <w:t>[27]</w:t>
        <w:tab/>
        <w:t>GSMA, "Mobile Money Agents: Sustainability in a Digital Era," GSMA, London, UK, 2022. [Online]. Available: https://www.gsma.com/solutions-and-impact/connectivity-for-good/mobile-for-development/wp-content/uploads/2022/05/Kenya-Insights.pdf</w:t>
      </w:r>
    </w:p>
    <w:p>
      <w:r>
        <w:t>[28]</w:t>
        <w:tab/>
        <w:t>GSMA, "Mobile Money Agents: Sustainability in a Digital Era," GSMA, London, UK, 2022.</w:t>
      </w:r>
    </w:p>
    <w:p>
      <w:r>
        <w:t>[29]</w:t>
        <w:tab/>
        <w:t>GSMA, "Mobile Money Fraud Typologies and Mitigation Strategies," GSMA, London, UK, 2024. [Online]. Available: https://www.gsma.com/solutions-and-impact/connectivity-for-good/mobile-for-development/wp-content/uploads/2024/03/GSMA-Fraud-Typologies-04-03-24.pdf</w:t>
      </w:r>
    </w:p>
    <w:p>
      <w:r>
        <w:t>[30]</w:t>
        <w:tab/>
        <w:t>GSMA, "Mobile Money Fraud Typologies and Mitigation Strategies," GSMA, London, UK, 2024.</w:t>
      </w:r>
    </w:p>
    <w:p>
      <w:r>
        <w:t>[31]</w:t>
        <w:tab/>
        <w:t>GSMA, "Mobile Money Fraud Typologies and Mitigation Strategies," GSMA, London, UK, 2024.</w:t>
      </w:r>
    </w:p>
    <w:p>
      <w:r>
        <w:t>[32]</w:t>
        <w:tab/>
        <w:t>S. Kamau et al., "Investigating Factors that Influence Compliance of Digital Financial Service Agents to Legislation and Standards in Kenya," University of Cape Town, 2021.</w:t>
      </w:r>
    </w:p>
    <w:p>
      <w:r>
        <w:t>[33]</w:t>
        <w:tab/>
        <w:t>S. Kamau et al., "Investigating Factors that Influence Compliance of Digital Financial Service Agents to Legislation and Standards in Kenya," University of Cape Town, 2021.</w:t>
      </w:r>
    </w:p>
    <w:p>
      <w:r>
        <w:t>[34]</w:t>
        <w:tab/>
        <w:t>CGAP, "The Role of Mobile Money Providers and Their Agents in Protecting Customers' Data," CGAP, Washington, DC, USA, 2022.</w:t>
      </w:r>
    </w:p>
    <w:p>
      <w:r>
        <w:t>[35]</w:t>
        <w:tab/>
        <w:t>X. Wang et al., "Graph Contrastive Pre-training for Anti-money Laundering," International Journal of Computational Intelligence Systems, vol. 17, no. 2, 2024.</w:t>
      </w:r>
    </w:p>
    <w:p>
      <w:r>
        <w:t>[36]</w:t>
        <w:tab/>
        <w:t>Z. Chen et al., "BI-GBDT: A Graph-Free Behavioral Interaction-Aware Gradient Boosting Framework for Fraud Detection in Large-Scale Payment Systems," Applied Sciences, vol. 16, no. 2, p. 876, 2026.</w:t>
      </w:r>
    </w:p>
    <w:p>
      <w:r>
        <w:t>[37]</w:t>
        <w:tab/>
        <w:t>S. Liu et al., "MonLAD: Money Laundering Agents Detection in Transaction Streams," in Proceedings of the ACM Web Conference, 2022.</w:t>
      </w:r>
    </w:p>
    <w:p>
      <w:r>
        <w:t>[38]</w:t>
        <w:tab/>
        <w:t>A. Silva et al., "LaundroGraph: Self-Supervised Graph Representation Learning for Anti-Money Laundering," in Proceedings of the ACM Web Conference, 2023.</w:t>
      </w:r>
    </w:p>
    <w:p>
      <w:r>
        <w:t>[39]</w:t>
        <w:tab/>
        <w:t>A. Silva et al., "LaundroGraph: Self-Supervised Graph Representation Learning for Anti-Money Laundering," in Proceedings of the ACM Web Conference, 2023.</w:t>
      </w:r>
    </w:p>
    <w:p>
      <w:r>
        <w:t>[40]</w:t>
        <w:tab/>
        <w:t>ESAAMLG, "5th Enhanced Follow-up Report &amp; Technical Compliance Re-Rating: Uganda," ESAAMLG, Dar es Salaam, Tanzania, 2020.</w:t>
      </w:r>
    </w:p>
    <w:p>
      <w:r>
        <w:t>[41]</w:t>
        <w:tab/>
        <w:t>GSMA, "Mobile Money Policy Handbook," GSMA, London, UK, 2021. [Online]. Available: https://www.gsma.com/solutions-and-impact/connectivity-for-good/mobile-for-development/wp-content/uploads/2021/10/Mobile-Money-Policy-Handbook.pdf</w:t>
      </w:r>
    </w:p>
    <w:p>
      <w:r>
        <w:t>[42]</w:t>
        <w:tab/>
        <w:t>GSMA, "Proportional Risk-Based AML/CFT Regimes for Mobile Money," GSMA, London, UK, 2015.</w:t>
      </w:r>
    </w:p>
    <w:p>
      <w:r>
        <w:t>[43]</w:t>
        <w:tab/>
        <w:t>Financial Action Task Force, "Guidance for a Risk-Based Approach: Prepaid Cards, Mobile Payments and Internet-Based Payment Services," FATF, Paris, France, 2013.</w:t>
      </w:r>
    </w:p>
    <w:p>
      <w:r>
        <w:t>[44]</w:t>
        <w:tab/>
        <w:t>ESAAMLG, "5th Enhanced Follow-up Report &amp; Technical Compliance Re-Rating: Uganda," ESAAMLG, Dar es Salaam, Tanzania, 2020.</w:t>
      </w:r>
    </w:p>
    <w:p>
      <w:r>
        <w:t>[45]</w:t>
        <w:tab/>
        <w:t>World Bank, "The Global Findex Database 2021: Financial Inclusion, Digital Payments, and Resilience in the Age of COVID-19," World Bank, Washington, DC, USA, 2022.</w:t>
      </w:r>
    </w:p>
    <w:p>
      <w:r>
        <w:t>[46]</w:t>
        <w:tab/>
        <w:t>Financial Action Task Force, "Anti-Money Laundering and Terrorist Financing Measures and Financial Inclusion," FATF, Paris, France, 2013.</w:t>
      </w:r>
    </w:p>
    <w:p>
      <w:r>
        <w:t>[47]</w:t>
        <w:tab/>
        <w:t>Financial Action Task Force, "Anti-Money Laundering and Terrorist Financing Measures and Financial Inclusion," FATF, Paris, France, 2013.</w:t>
      </w:r>
    </w:p>
    <w:p>
      <w:r>
        <w:t>[48]</w:t>
        <w:tab/>
        <w:t>World Bank, "The Global Findex Database 2021: Financial Inclusion, Digital Payments, and Resilience in the Age of COVID-19," World Bank, Washington, DC, USA, 2022.</w:t>
      </w:r>
    </w:p>
    <w:p>
      <w:r>
        <w:t>[49]</w:t>
        <w:tab/>
        <w:t>GSMA, "State of the Industry Report on Mobile Money 2022," GSMA, London, UK, 2022.</w:t>
      </w:r>
    </w:p>
    <w:p>
      <w:r>
        <w:t>[50]</w:t>
        <w:tab/>
        <w:t>Reserve Bank of Zimbabwe, "Zimbabwe National Financial Inclusion Strategy II (2022-2026)," Reserve Bank of Zimbabwe, Harare, Zimbabwe, 2022.</w:t>
      </w:r>
    </w:p>
    <w:p>
      <w:r>
        <w:t>[51]</w:t>
        <w:tab/>
        <w:t>Financial Intelligence Unit, "AML/CFT Guidelines," Reserve Bank of Zimbabwe, Harare, Zimbabwe, 2024.</w:t>
      </w:r>
    </w:p>
    <w:p>
      <w:r>
        <w:t>[52]</w:t>
        <w:tab/>
        <w:t>E. Altman et al., "Synthetic Financial Data for Anti-Money Laundering Detection Research," in Proceedings of the ACM Conference on Economics and Computation, 2021.</w:t>
      </w:r>
    </w:p>
    <w:p>
      <w:r>
        <w:t>[53]</w:t>
        <w:tab/>
        <w:t>INTERPOL, "Mobile Money and Organized Crime in Africa," INTERPOL, Lyon, France, 2020.</w:t>
      </w:r>
    </w:p>
    <w:p>
      <w:r>
        <w:t>[54]</w:t>
        <w:tab/>
        <w:t>GSMA, "Mobile Money Fraud Typologies and Mitigation Strategies," GSMA, London, UK, 2024.</w:t>
      </w:r>
    </w:p>
    <w:p>
      <w:r>
        <w:t>[55]</w:t>
        <w:tab/>
        <w:t>Monetary Authority of Singapore, "Guidance for Effective AML/CFT Transaction Monitoring Controls," MAS, Singapore, 2021.</w:t>
      </w:r>
    </w:p>
    <w:p>
      <w:r>
        <w:t>[56]</w:t>
        <w:tab/>
        <w:t>ESAAMLG, "5th Enhanced Follow-up Report &amp; Technical Compliance Re-Rating: Uganda," ESAAMLG, Dar es Salaam, Tanzania, 2020.</w:t>
      </w:r>
    </w:p>
    <w:p>
      <w:r>
        <w:t>[57]</w:t>
        <w:tab/>
        <w:t>E. Altman et al., "Synthetic Financial Data for Anti-Money Laundering Detection Research," in Proceedings of the ACM Conference on Economics and Computation, 2021.</w:t>
      </w:r>
    </w:p>
    <w:p>
      <w:r>
        <w:t>[58]</w:t>
        <w:tab/>
        <w:t>X. Wang et al., "Graph Contrastive Pre-training for Anti-money Laundering," International Journal of Computational Intelligence Systems, vol. 17, no. 2, 2024.</w:t>
      </w:r>
    </w:p>
    <w:p>
      <w:r>
        <w:t>[59]</w:t>
        <w:tab/>
        <w:t>Reserve Bank of Zimbabwe, "Zimbabwe National Financial Inclusion Strategy II (2022-2026)," Reserve Bank of Zimbabwe, Harare, Zimbabwe, 2022.</w:t>
      </w:r>
    </w:p>
    <w:p>
      <w:r>
        <w:t>[60]</w:t>
        <w:tab/>
        <w:t>World Bank, "The Global Findex Database 2021: Financial Inclusion, Digital Payments, and Resilience in the Age of COVID-19," World Bank, Washington, DC, USA, 2022.</w:t>
      </w:r>
    </w:p>
    <w:p>
      <w:r>
        <w:t>[61]</w:t>
        <w:tab/>
        <w:t>GSMA, "The State of the Industry Report on Mobile Money 2023," GSMA, London, UK, 2023.</w:t>
      </w:r>
    </w:p>
    <w:p>
      <w:r>
        <w:t>[62]</w:t>
        <w:tab/>
        <w:t>Financial Intelligence Unit, "Annual Report 2024," Reserve Bank of Zimbabwe, Harare, Zimbabwe, 2024.</w:t>
      </w:r>
    </w:p>
    <w:p>
      <w:r>
        <w:t>[63]</w:t>
        <w:tab/>
        <w:t>E. Altman et al., "Synthetic Financial Data for Anti-Money Laundering Detection Research," in Proceedings of the ACM Conference on Economics and Computation, 2021.</w:t>
      </w:r>
    </w:p>
    <w:p>
      <w:r>
        <w:t>[64]</w:t>
        <w:tab/>
        <w:t>GSMA, "Mobile Money Policy Handbook," GSMA, London, UK, 2021.</w:t>
      </w:r>
    </w:p>
    <w:p>
      <w:r>
        <w:t>[65]</w:t>
        <w:tab/>
        <w:t>Financial Action Task Force, "FATF Annual Report 2023-2024," FATF, Paris, France, 2024.</w:t>
      </w:r>
    </w:p>
    <w:p>
      <w:r>
        <w:t>[66]</w:t>
        <w:tab/>
        <w:t>Monetary Authority of Singapore, "Guidance for Effective AML/CFT Transaction Monitoring Controls," MAS, Singapore, 2021.</w:t>
      </w:r>
    </w:p>
    <w:p>
      <w:r>
        <w:t>[67]</w:t>
        <w:tab/>
        <w:t>Z. Chen et al., "BI-GBDT: A Graph-Free Behavioral Interaction-Aware Gradient Boosting Framework for Fraud Detection in Large-Scale Payment Systems," Applied Sciences, vol. 16, no. 2, p. 876, 2026.</w:t>
      </w:r>
    </w:p>
    <w:p>
      <w:r>
        <w:t>[68]</w:t>
        <w:tab/>
        <w:t>Y. Liu et al., "Finding Money Launderers Using Heterogeneous Graph Neural Networks," arXiv:2307.13499, 2023.</w:t>
      </w:r>
    </w:p>
    <w:p>
      <w:r>
        <w:t>[69]</w:t>
        <w:tab/>
        <w:t>GSMA, "Mobile Money Policy Handbook," GSMA, London, UK, 2021.</w:t>
      </w:r>
    </w:p>
    <w:p>
      <w:r>
        <w:t>[70]</w:t>
        <w:tab/>
        <w:t>World Bank, "The Global Findex Database 2021: Financial Inclusion, Digital Payments, and Resilience in the Age of COVID-19," World Bank, Washington, DC, USA, 2022.</w:t>
      </w:r>
    </w:p>
    <w:p>
      <w:r>
        <w:t>[71]</w:t>
        <w:tab/>
        <w:t>Financial Action Task Force, "Anti-Money Laundering and Terrorist Financing Measures and Financial Inclusion," FATF, Paris, France, 2013.</w:t>
      </w:r>
    </w:p>
    <w:p>
      <w:r>
        <w:t>[72]</w:t>
        <w:tab/>
        <w:t>GSMA, "Mobile Money Fraud Typologies and Mitigation Strategies," GSMA, London, UK, 2024.</w:t>
      </w:r>
    </w:p>
    <w:p>
      <w:r>
        <w:t>[73]</w:t>
        <w:tab/>
        <w:t>A. Silva et al., "LaundroGraph: Self-Supervised Graph Representation Learning for Anti-Money Laundering," in Proceedings of the ACM Web Conference, 2023.</w:t>
      </w:r>
    </w:p>
    <w:p>
      <w:r>
        <w:t>[74]</w:t>
        <w:tab/>
        <w:t>E. Altman et al., "Synthetic Financial Data for Anti-Money Laundering Detection Research," in Proceedings of the ACM Conference on Economics and Computation, 2021.</w:t>
      </w:r>
    </w:p>
    <w:p>
      <w:r>
        <w:t>[75]</w:t>
        <w:tab/>
        <w:t>Monetary Authority of Singapore, "Guidance for Effective AML/CFT Transaction Monitoring Controls," MAS, Singapore, 2021.</w:t>
      </w:r>
    </w:p>
    <w:p>
      <w:r>
        <w:t>[76]</w:t>
        <w:tab/>
        <w:t>X. Wang et al., "Graph Contrastive Pre-training for Anti-money Laundering," International Journal of Computational Intelligence Systems, vol. 17, no. 2, 2024.</w:t>
      </w:r>
    </w:p>
    <w:p>
      <w:r>
        <w:t>[77]</w:t>
        <w:tab/>
        <w:t>S. Liu et al., "MonLAD: Money Laundering Agents Detection in Transaction Streams," in Proceedings of the ACM Web Conference, 2022.</w:t>
      </w:r>
    </w:p>
    <w:p>
      <w:r>
        <w:t>[78]</w:t>
        <w:tab/>
        <w:t>GSMA, "Mobile Money Policy Handbook," GSMA, London, UK, 2021.</w:t>
      </w:r>
    </w:p>
    <w:p>
      <w:r>
        <w:t>[79]</w:t>
        <w:tab/>
        <w:t>ESAAMLG, "5th Enhanced Follow-up Report &amp; Technical Compliance Re-Rating: Uganda," ESAAMLG, Dar es Salaam, Tanzania, 2020.</w:t>
      </w:r>
    </w:p>
    <w:p>
      <w:r>
        <w:t>[80]</w:t>
        <w:tab/>
        <w:t>Financial Intelligence Unit, "AML/CFT Guidelines," Reserve Bank of Zimbabwe, Harare, Zimbabwe, 2024.</w:t>
      </w:r>
    </w:p>
    <w:p>
      <w:r>
        <w:t>[81]</w:t>
        <w:tab/>
        <w:t>Reserve Bank of Zimbabwe, "Zimbabwe National Financial Inclusion Strategy II (2022-2026)," Reserve Bank of Zimbabwe, Harare, Zimbabwe, 2022.</w:t>
      </w:r>
    </w:p>
    <w:p>
      <w:r>
        <w:t>[82]</w:t>
        <w:tab/>
        <w:t>World Bank, "The Global Findex Database 2021: Financial Inclusion, Digital Payments, and Resilience in the Age of COVID-19," World Bank, Washington, DC, USA, 2022.</w:t>
      </w:r>
    </w:p>
    <w:sectPr w:rsidR="00983555" w:rsidRPr="00A77248" w:rsidSect="0098355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555"/>
    <w:rsid w:val="000056E8"/>
    <w:rsid w:val="0006128E"/>
    <w:rsid w:val="00085439"/>
    <w:rsid w:val="000A7967"/>
    <w:rsid w:val="0016088F"/>
    <w:rsid w:val="00184929"/>
    <w:rsid w:val="001E06AC"/>
    <w:rsid w:val="001E66D4"/>
    <w:rsid w:val="001E7BA2"/>
    <w:rsid w:val="001F4287"/>
    <w:rsid w:val="00200B4C"/>
    <w:rsid w:val="0020358F"/>
    <w:rsid w:val="00211CB5"/>
    <w:rsid w:val="00225741"/>
    <w:rsid w:val="00237853"/>
    <w:rsid w:val="0027146C"/>
    <w:rsid w:val="00274599"/>
    <w:rsid w:val="002B2212"/>
    <w:rsid w:val="002B2706"/>
    <w:rsid w:val="002E2C17"/>
    <w:rsid w:val="002F4470"/>
    <w:rsid w:val="0035329F"/>
    <w:rsid w:val="00365A57"/>
    <w:rsid w:val="0037370B"/>
    <w:rsid w:val="003831AD"/>
    <w:rsid w:val="003943B8"/>
    <w:rsid w:val="003A5657"/>
    <w:rsid w:val="003C0665"/>
    <w:rsid w:val="00417ADA"/>
    <w:rsid w:val="0042665F"/>
    <w:rsid w:val="0048759B"/>
    <w:rsid w:val="004C608D"/>
    <w:rsid w:val="00530C3A"/>
    <w:rsid w:val="00543CDB"/>
    <w:rsid w:val="00597FEA"/>
    <w:rsid w:val="005E6DCD"/>
    <w:rsid w:val="005F6335"/>
    <w:rsid w:val="00607FF8"/>
    <w:rsid w:val="00696A4D"/>
    <w:rsid w:val="006E095B"/>
    <w:rsid w:val="00731A3D"/>
    <w:rsid w:val="007622C8"/>
    <w:rsid w:val="007910B0"/>
    <w:rsid w:val="00796B3A"/>
    <w:rsid w:val="007B1A3C"/>
    <w:rsid w:val="007C28BF"/>
    <w:rsid w:val="00826A81"/>
    <w:rsid w:val="00916D42"/>
    <w:rsid w:val="00956455"/>
    <w:rsid w:val="00983555"/>
    <w:rsid w:val="00A445EA"/>
    <w:rsid w:val="00A77248"/>
    <w:rsid w:val="00A90122"/>
    <w:rsid w:val="00AF797D"/>
    <w:rsid w:val="00BA7416"/>
    <w:rsid w:val="00BC310D"/>
    <w:rsid w:val="00BD6A76"/>
    <w:rsid w:val="00C01858"/>
    <w:rsid w:val="00C04DCC"/>
    <w:rsid w:val="00C44DEF"/>
    <w:rsid w:val="00C60972"/>
    <w:rsid w:val="00C96762"/>
    <w:rsid w:val="00CB2C17"/>
    <w:rsid w:val="00CB40F7"/>
    <w:rsid w:val="00D27437"/>
    <w:rsid w:val="00D37C9C"/>
    <w:rsid w:val="00E13664"/>
    <w:rsid w:val="00E17BCB"/>
    <w:rsid w:val="00E2068D"/>
    <w:rsid w:val="00EB7C5D"/>
    <w:rsid w:val="00EF2B96"/>
    <w:rsid w:val="00F40DA2"/>
    <w:rsid w:val="00F51935"/>
    <w:rsid w:val="00F63C65"/>
    <w:rsid w:val="00F7518A"/>
    <w:rsid w:val="00F830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2834F"/>
  <w15:chartTrackingRefBased/>
  <w15:docId w15:val="{DE6A79E8-4329-4055-BD9F-D41C30B07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555"/>
    <w:pPr>
      <w:spacing w:line="360" w:lineRule="auto"/>
      <w:jc w:val="both"/>
    </w:pPr>
    <w:rPr>
      <w:rFonts w:eastAsiaTheme="minorEastAsia" w:ascii="Times New Roman" w:hAnsi="Times New Roman"/>
      <w:sz w:val="24"/>
      <w:szCs w:val="24"/>
      <w:lang w:val="en-GB" w:eastAsia="ja-JP"/>
    </w:rPr>
  </w:style>
  <w:style w:type="paragraph" w:styleId="Heading1">
    <w:name w:val="heading 1"/>
    <w:basedOn w:val="Normal"/>
    <w:next w:val="Normal"/>
    <w:link w:val="Heading1Char"/>
    <w:uiPriority w:val="9"/>
    <w:qFormat/>
    <w:rsid w:val="00983555"/>
    <w:pPr>
      <w:keepNext/>
      <w:keepLines/>
      <w:spacing w:before="360" w:after="80" w:line="259" w:lineRule="auto"/>
      <w:outlineLvl w:val="0"/>
    </w:pPr>
    <w:rPr>
      <w:rFonts w:asciiTheme="majorHAnsi" w:eastAsiaTheme="majorEastAsia" w:hAnsiTheme="majorHAnsi" w:cstheme="majorBidi"/>
      <w:color w:val="2E74B5" w:themeColor="accent1" w:themeShade="BF"/>
      <w:sz w:val="40"/>
      <w:szCs w:val="40"/>
      <w:lang w:val="en-US" w:eastAsia="en-US"/>
    </w:rPr>
  </w:style>
  <w:style w:type="paragraph" w:styleId="Heading2">
    <w:name w:val="heading 2"/>
    <w:basedOn w:val="Normal"/>
    <w:next w:val="Normal"/>
    <w:link w:val="Heading2Char"/>
    <w:uiPriority w:val="9"/>
    <w:semiHidden/>
    <w:unhideWhenUsed/>
    <w:qFormat/>
    <w:rsid w:val="00983555"/>
    <w:pPr>
      <w:keepNext/>
      <w:keepLines/>
      <w:spacing w:before="160" w:after="80" w:line="259" w:lineRule="auto"/>
      <w:outlineLvl w:val="1"/>
    </w:pPr>
    <w:rPr>
      <w:rFonts w:asciiTheme="majorHAnsi" w:eastAsiaTheme="majorEastAsia" w:hAnsiTheme="majorHAnsi" w:cstheme="majorBidi"/>
      <w:color w:val="2E74B5" w:themeColor="accent1" w:themeShade="BF"/>
      <w:sz w:val="32"/>
      <w:szCs w:val="32"/>
      <w:lang w:val="en-US" w:eastAsia="en-US"/>
    </w:rPr>
  </w:style>
  <w:style w:type="paragraph" w:styleId="Heading3">
    <w:name w:val="heading 3"/>
    <w:basedOn w:val="Normal"/>
    <w:next w:val="Normal"/>
    <w:link w:val="Heading3Char"/>
    <w:uiPriority w:val="9"/>
    <w:semiHidden/>
    <w:unhideWhenUsed/>
    <w:qFormat/>
    <w:rsid w:val="00983555"/>
    <w:pPr>
      <w:keepNext/>
      <w:keepLines/>
      <w:spacing w:before="160" w:after="80" w:line="259" w:lineRule="auto"/>
      <w:outlineLvl w:val="2"/>
    </w:pPr>
    <w:rPr>
      <w:rFonts w:eastAsiaTheme="majorEastAsia" w:cstheme="majorBidi"/>
      <w:color w:val="2E74B5" w:themeColor="accent1" w:themeShade="BF"/>
      <w:sz w:val="28"/>
      <w:szCs w:val="28"/>
      <w:lang w:val="en-US" w:eastAsia="en-US"/>
    </w:rPr>
  </w:style>
  <w:style w:type="paragraph" w:styleId="Heading4">
    <w:name w:val="heading 4"/>
    <w:basedOn w:val="Normal"/>
    <w:next w:val="Normal"/>
    <w:link w:val="Heading4Char"/>
    <w:uiPriority w:val="9"/>
    <w:semiHidden/>
    <w:unhideWhenUsed/>
    <w:qFormat/>
    <w:rsid w:val="00983555"/>
    <w:pPr>
      <w:keepNext/>
      <w:keepLines/>
      <w:spacing w:before="80" w:after="40" w:line="259" w:lineRule="auto"/>
      <w:outlineLvl w:val="3"/>
    </w:pPr>
    <w:rPr>
      <w:rFonts w:eastAsiaTheme="majorEastAsia" w:cstheme="majorBidi"/>
      <w:i/>
      <w:iCs/>
      <w:color w:val="2E74B5" w:themeColor="accent1" w:themeShade="BF"/>
      <w:sz w:val="22"/>
      <w:szCs w:val="22"/>
      <w:lang w:val="en-US" w:eastAsia="en-US"/>
    </w:rPr>
  </w:style>
  <w:style w:type="paragraph" w:styleId="Heading5">
    <w:name w:val="heading 5"/>
    <w:basedOn w:val="Normal"/>
    <w:next w:val="Normal"/>
    <w:link w:val="Heading5Char"/>
    <w:uiPriority w:val="9"/>
    <w:semiHidden/>
    <w:unhideWhenUsed/>
    <w:qFormat/>
    <w:rsid w:val="00983555"/>
    <w:pPr>
      <w:keepNext/>
      <w:keepLines/>
      <w:spacing w:before="80" w:after="40" w:line="259" w:lineRule="auto"/>
      <w:outlineLvl w:val="4"/>
    </w:pPr>
    <w:rPr>
      <w:rFonts w:eastAsiaTheme="majorEastAsia" w:cstheme="majorBidi"/>
      <w:color w:val="2E74B5" w:themeColor="accent1" w:themeShade="BF"/>
      <w:sz w:val="22"/>
      <w:szCs w:val="22"/>
      <w:lang w:val="en-US" w:eastAsia="en-US"/>
    </w:rPr>
  </w:style>
  <w:style w:type="paragraph" w:styleId="Heading6">
    <w:name w:val="heading 6"/>
    <w:basedOn w:val="Normal"/>
    <w:next w:val="Normal"/>
    <w:link w:val="Heading6Char"/>
    <w:uiPriority w:val="9"/>
    <w:semiHidden/>
    <w:unhideWhenUsed/>
    <w:qFormat/>
    <w:rsid w:val="00983555"/>
    <w:pPr>
      <w:keepNext/>
      <w:keepLines/>
      <w:spacing w:before="40" w:after="0" w:line="259" w:lineRule="auto"/>
      <w:outlineLvl w:val="5"/>
    </w:pPr>
    <w:rPr>
      <w:rFonts w:eastAsiaTheme="majorEastAsia" w:cstheme="majorBidi"/>
      <w:i/>
      <w:iCs/>
      <w:color w:val="595959" w:themeColor="text1" w:themeTint="A6"/>
      <w:sz w:val="22"/>
      <w:szCs w:val="22"/>
      <w:lang w:val="en-US" w:eastAsia="en-US"/>
    </w:rPr>
  </w:style>
  <w:style w:type="paragraph" w:styleId="Heading7">
    <w:name w:val="heading 7"/>
    <w:basedOn w:val="Normal"/>
    <w:next w:val="Normal"/>
    <w:link w:val="Heading7Char"/>
    <w:uiPriority w:val="9"/>
    <w:semiHidden/>
    <w:unhideWhenUsed/>
    <w:qFormat/>
    <w:rsid w:val="00983555"/>
    <w:pPr>
      <w:keepNext/>
      <w:keepLines/>
      <w:spacing w:before="40" w:after="0" w:line="259" w:lineRule="auto"/>
      <w:outlineLvl w:val="6"/>
    </w:pPr>
    <w:rPr>
      <w:rFonts w:eastAsiaTheme="majorEastAsia" w:cstheme="majorBidi"/>
      <w:color w:val="595959" w:themeColor="text1" w:themeTint="A6"/>
      <w:sz w:val="22"/>
      <w:szCs w:val="22"/>
      <w:lang w:val="en-US" w:eastAsia="en-US"/>
    </w:rPr>
  </w:style>
  <w:style w:type="paragraph" w:styleId="Heading8">
    <w:name w:val="heading 8"/>
    <w:basedOn w:val="Normal"/>
    <w:next w:val="Normal"/>
    <w:link w:val="Heading8Char"/>
    <w:uiPriority w:val="9"/>
    <w:semiHidden/>
    <w:unhideWhenUsed/>
    <w:qFormat/>
    <w:rsid w:val="00983555"/>
    <w:pPr>
      <w:keepNext/>
      <w:keepLines/>
      <w:spacing w:after="0" w:line="259" w:lineRule="auto"/>
      <w:outlineLvl w:val="7"/>
    </w:pPr>
    <w:rPr>
      <w:rFonts w:eastAsiaTheme="majorEastAsia" w:cstheme="majorBidi"/>
      <w:i/>
      <w:iCs/>
      <w:color w:val="272727" w:themeColor="text1" w:themeTint="D8"/>
      <w:sz w:val="22"/>
      <w:szCs w:val="22"/>
      <w:lang w:val="en-US" w:eastAsia="en-US"/>
    </w:rPr>
  </w:style>
  <w:style w:type="paragraph" w:styleId="Heading9">
    <w:name w:val="heading 9"/>
    <w:basedOn w:val="Normal"/>
    <w:next w:val="Normal"/>
    <w:link w:val="Heading9Char"/>
    <w:uiPriority w:val="9"/>
    <w:semiHidden/>
    <w:unhideWhenUsed/>
    <w:qFormat/>
    <w:rsid w:val="00983555"/>
    <w:pPr>
      <w:keepNext/>
      <w:keepLines/>
      <w:spacing w:after="0" w:line="259" w:lineRule="auto"/>
      <w:outlineLvl w:val="8"/>
    </w:pPr>
    <w:rPr>
      <w:rFonts w:eastAsiaTheme="majorEastAsia" w:cstheme="majorBidi"/>
      <w:color w:val="272727" w:themeColor="text1" w:themeTint="D8"/>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55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8355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8355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8355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8355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835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5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5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555"/>
    <w:rPr>
      <w:rFonts w:eastAsiaTheme="majorEastAsia" w:cstheme="majorBidi"/>
      <w:color w:val="272727" w:themeColor="text1" w:themeTint="D8"/>
    </w:rPr>
  </w:style>
  <w:style w:type="paragraph" w:styleId="Title">
    <w:name w:val="Title"/>
    <w:basedOn w:val="Normal"/>
    <w:next w:val="Normal"/>
    <w:link w:val="TitleChar"/>
    <w:uiPriority w:val="10"/>
    <w:qFormat/>
    <w:rsid w:val="00983555"/>
    <w:pPr>
      <w:spacing w:after="80" w:line="240" w:lineRule="auto"/>
      <w:contextualSpacing/>
    </w:pPr>
    <w:rPr>
      <w:rFonts w:asciiTheme="majorHAnsi" w:eastAsiaTheme="majorEastAsia" w:hAnsiTheme="majorHAnsi" w:cstheme="majorBidi"/>
      <w:spacing w:val="-10"/>
      <w:kern w:val="28"/>
      <w:sz w:val="56"/>
      <w:szCs w:val="56"/>
      <w:lang w:val="en-US" w:eastAsia="en-US"/>
    </w:rPr>
  </w:style>
  <w:style w:type="character" w:customStyle="1" w:styleId="TitleChar">
    <w:name w:val="Title Char"/>
    <w:basedOn w:val="DefaultParagraphFont"/>
    <w:link w:val="Title"/>
    <w:uiPriority w:val="10"/>
    <w:rsid w:val="009835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555"/>
    <w:pPr>
      <w:numPr>
        <w:ilvl w:val="1"/>
      </w:numPr>
      <w:spacing w:line="259" w:lineRule="auto"/>
    </w:pPr>
    <w:rPr>
      <w:rFonts w:eastAsiaTheme="majorEastAsia" w:cstheme="majorBidi"/>
      <w:color w:val="595959" w:themeColor="text1" w:themeTint="A6"/>
      <w:spacing w:val="15"/>
      <w:sz w:val="28"/>
      <w:szCs w:val="28"/>
      <w:lang w:val="en-US" w:eastAsia="en-US"/>
    </w:rPr>
  </w:style>
  <w:style w:type="character" w:customStyle="1" w:styleId="SubtitleChar">
    <w:name w:val="Subtitle Char"/>
    <w:basedOn w:val="DefaultParagraphFont"/>
    <w:link w:val="Subtitle"/>
    <w:uiPriority w:val="11"/>
    <w:rsid w:val="009835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555"/>
    <w:pPr>
      <w:spacing w:before="160" w:line="259" w:lineRule="auto"/>
      <w:jc w:val="center"/>
    </w:pPr>
    <w:rPr>
      <w:rFonts w:eastAsiaTheme="minorHAnsi"/>
      <w:i/>
      <w:iCs/>
      <w:color w:val="404040" w:themeColor="text1" w:themeTint="BF"/>
      <w:sz w:val="22"/>
      <w:szCs w:val="22"/>
      <w:lang w:val="en-US" w:eastAsia="en-US"/>
    </w:rPr>
  </w:style>
  <w:style w:type="character" w:customStyle="1" w:styleId="QuoteChar">
    <w:name w:val="Quote Char"/>
    <w:basedOn w:val="DefaultParagraphFont"/>
    <w:link w:val="Quote"/>
    <w:uiPriority w:val="29"/>
    <w:rsid w:val="00983555"/>
    <w:rPr>
      <w:i/>
      <w:iCs/>
      <w:color w:val="404040" w:themeColor="text1" w:themeTint="BF"/>
    </w:rPr>
  </w:style>
  <w:style w:type="paragraph" w:styleId="ListParagraph">
    <w:name w:val="List Paragraph"/>
    <w:basedOn w:val="Normal"/>
    <w:uiPriority w:val="34"/>
    <w:qFormat/>
    <w:rsid w:val="00983555"/>
    <w:pPr>
      <w:spacing w:line="259" w:lineRule="auto"/>
      <w:ind w:left="720"/>
      <w:contextualSpacing/>
    </w:pPr>
    <w:rPr>
      <w:rFonts w:eastAsiaTheme="minorHAnsi"/>
      <w:sz w:val="22"/>
      <w:szCs w:val="22"/>
      <w:lang w:val="en-US" w:eastAsia="en-US"/>
    </w:rPr>
  </w:style>
  <w:style w:type="character" w:styleId="IntenseEmphasis">
    <w:name w:val="Intense Emphasis"/>
    <w:basedOn w:val="DefaultParagraphFont"/>
    <w:uiPriority w:val="21"/>
    <w:qFormat/>
    <w:rsid w:val="00983555"/>
    <w:rPr>
      <w:i/>
      <w:iCs/>
      <w:color w:val="2E74B5" w:themeColor="accent1" w:themeShade="BF"/>
    </w:rPr>
  </w:style>
  <w:style w:type="paragraph" w:styleId="IntenseQuote">
    <w:name w:val="Intense Quote"/>
    <w:basedOn w:val="Normal"/>
    <w:next w:val="Normal"/>
    <w:link w:val="IntenseQuoteChar"/>
    <w:uiPriority w:val="30"/>
    <w:qFormat/>
    <w:rsid w:val="00983555"/>
    <w:pPr>
      <w:pBdr>
        <w:top w:val="single" w:sz="4" w:space="10" w:color="2E74B5" w:themeColor="accent1" w:themeShade="BF"/>
        <w:bottom w:val="single" w:sz="4" w:space="10" w:color="2E74B5" w:themeColor="accent1" w:themeShade="BF"/>
      </w:pBdr>
      <w:spacing w:before="360" w:after="360" w:line="259" w:lineRule="auto"/>
      <w:ind w:left="864" w:right="864"/>
      <w:jc w:val="center"/>
    </w:pPr>
    <w:rPr>
      <w:rFonts w:eastAsiaTheme="minorHAnsi"/>
      <w:i/>
      <w:iCs/>
      <w:color w:val="2E74B5" w:themeColor="accent1" w:themeShade="BF"/>
      <w:sz w:val="22"/>
      <w:szCs w:val="22"/>
      <w:lang w:val="en-US" w:eastAsia="en-US"/>
    </w:rPr>
  </w:style>
  <w:style w:type="character" w:customStyle="1" w:styleId="IntenseQuoteChar">
    <w:name w:val="Intense Quote Char"/>
    <w:basedOn w:val="DefaultParagraphFont"/>
    <w:link w:val="IntenseQuote"/>
    <w:uiPriority w:val="30"/>
    <w:rsid w:val="00983555"/>
    <w:rPr>
      <w:i/>
      <w:iCs/>
      <w:color w:val="2E74B5" w:themeColor="accent1" w:themeShade="BF"/>
    </w:rPr>
  </w:style>
  <w:style w:type="character" w:styleId="IntenseReference">
    <w:name w:val="Intense Reference"/>
    <w:basedOn w:val="DefaultParagraphFont"/>
    <w:uiPriority w:val="32"/>
    <w:qFormat/>
    <w:rsid w:val="00983555"/>
    <w:rPr>
      <w:b/>
      <w:bCs/>
      <w:smallCaps/>
      <w:color w:val="2E74B5" w:themeColor="accent1" w:themeShade="BF"/>
      <w:spacing w:val="5"/>
    </w:rPr>
  </w:style>
  <w:style w:type="character" w:styleId="Hyperlink">
    <w:name w:val="Hyperlink"/>
    <w:basedOn w:val="DefaultParagraphFont"/>
    <w:uiPriority w:val="99"/>
    <w:unhideWhenUsed/>
    <w:rsid w:val="00983555"/>
    <w:rPr>
      <w:color w:val="467886"/>
      <w:u w:val="single"/>
    </w:rPr>
  </w:style>
  <w:style w:type="table" w:styleId="TableGrid">
    <w:name w:val="Table Grid"/>
    <w:basedOn w:val="TableNormal"/>
    <w:uiPriority w:val="39"/>
    <w:rsid w:val="00916D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67408">
      <w:bodyDiv w:val="1"/>
      <w:marLeft w:val="0"/>
      <w:marRight w:val="0"/>
      <w:marTop w:val="0"/>
      <w:marBottom w:val="0"/>
      <w:divBdr>
        <w:top w:val="none" w:sz="0" w:space="0" w:color="auto"/>
        <w:left w:val="none" w:sz="0" w:space="0" w:color="auto"/>
        <w:bottom w:val="none" w:sz="0" w:space="0" w:color="auto"/>
        <w:right w:val="none" w:sz="0" w:space="0" w:color="auto"/>
      </w:divBdr>
      <w:divsChild>
        <w:div w:id="525598781">
          <w:marLeft w:val="0"/>
          <w:marRight w:val="0"/>
          <w:marTop w:val="360"/>
          <w:marBottom w:val="180"/>
          <w:divBdr>
            <w:top w:val="none" w:sz="0" w:space="0" w:color="auto"/>
            <w:left w:val="none" w:sz="0" w:space="0" w:color="auto"/>
            <w:bottom w:val="none" w:sz="0" w:space="0" w:color="auto"/>
            <w:right w:val="none" w:sz="0" w:space="0" w:color="auto"/>
          </w:divBdr>
        </w:div>
        <w:div w:id="975452942">
          <w:marLeft w:val="0"/>
          <w:marRight w:val="0"/>
          <w:marTop w:val="180"/>
          <w:marBottom w:val="240"/>
          <w:divBdr>
            <w:top w:val="none" w:sz="0" w:space="0" w:color="auto"/>
            <w:left w:val="none" w:sz="0" w:space="0" w:color="auto"/>
            <w:bottom w:val="none" w:sz="0" w:space="0" w:color="auto"/>
            <w:right w:val="none" w:sz="0" w:space="0" w:color="auto"/>
          </w:divBdr>
        </w:div>
        <w:div w:id="742920534">
          <w:marLeft w:val="0"/>
          <w:marRight w:val="0"/>
          <w:marTop w:val="360"/>
          <w:marBottom w:val="180"/>
          <w:divBdr>
            <w:top w:val="none" w:sz="0" w:space="0" w:color="auto"/>
            <w:left w:val="none" w:sz="0" w:space="0" w:color="auto"/>
            <w:bottom w:val="none" w:sz="0" w:space="0" w:color="auto"/>
            <w:right w:val="none" w:sz="0" w:space="0" w:color="auto"/>
          </w:divBdr>
        </w:div>
        <w:div w:id="743718413">
          <w:marLeft w:val="0"/>
          <w:marRight w:val="0"/>
          <w:marTop w:val="60"/>
          <w:marBottom w:val="180"/>
          <w:divBdr>
            <w:top w:val="none" w:sz="0" w:space="0" w:color="auto"/>
            <w:left w:val="none" w:sz="0" w:space="0" w:color="auto"/>
            <w:bottom w:val="none" w:sz="0" w:space="0" w:color="auto"/>
            <w:right w:val="none" w:sz="0" w:space="0" w:color="auto"/>
          </w:divBdr>
        </w:div>
      </w:divsChild>
    </w:div>
    <w:div w:id="201674667">
      <w:bodyDiv w:val="1"/>
      <w:marLeft w:val="0"/>
      <w:marRight w:val="0"/>
      <w:marTop w:val="0"/>
      <w:marBottom w:val="0"/>
      <w:divBdr>
        <w:top w:val="none" w:sz="0" w:space="0" w:color="auto"/>
        <w:left w:val="none" w:sz="0" w:space="0" w:color="auto"/>
        <w:bottom w:val="none" w:sz="0" w:space="0" w:color="auto"/>
        <w:right w:val="none" w:sz="0" w:space="0" w:color="auto"/>
      </w:divBdr>
    </w:div>
    <w:div w:id="350567954">
      <w:bodyDiv w:val="1"/>
      <w:marLeft w:val="0"/>
      <w:marRight w:val="0"/>
      <w:marTop w:val="0"/>
      <w:marBottom w:val="0"/>
      <w:divBdr>
        <w:top w:val="none" w:sz="0" w:space="0" w:color="auto"/>
        <w:left w:val="none" w:sz="0" w:space="0" w:color="auto"/>
        <w:bottom w:val="none" w:sz="0" w:space="0" w:color="auto"/>
        <w:right w:val="none" w:sz="0" w:space="0" w:color="auto"/>
      </w:divBdr>
    </w:div>
    <w:div w:id="821582948">
      <w:bodyDiv w:val="1"/>
      <w:marLeft w:val="0"/>
      <w:marRight w:val="0"/>
      <w:marTop w:val="0"/>
      <w:marBottom w:val="0"/>
      <w:divBdr>
        <w:top w:val="none" w:sz="0" w:space="0" w:color="auto"/>
        <w:left w:val="none" w:sz="0" w:space="0" w:color="auto"/>
        <w:bottom w:val="none" w:sz="0" w:space="0" w:color="auto"/>
        <w:right w:val="none" w:sz="0" w:space="0" w:color="auto"/>
      </w:divBdr>
    </w:div>
    <w:div w:id="1035738106">
      <w:bodyDiv w:val="1"/>
      <w:marLeft w:val="0"/>
      <w:marRight w:val="0"/>
      <w:marTop w:val="0"/>
      <w:marBottom w:val="0"/>
      <w:divBdr>
        <w:top w:val="none" w:sz="0" w:space="0" w:color="auto"/>
        <w:left w:val="none" w:sz="0" w:space="0" w:color="auto"/>
        <w:bottom w:val="none" w:sz="0" w:space="0" w:color="auto"/>
        <w:right w:val="none" w:sz="0" w:space="0" w:color="auto"/>
      </w:divBdr>
      <w:divsChild>
        <w:div w:id="1070226164">
          <w:marLeft w:val="0"/>
          <w:marRight w:val="0"/>
          <w:marTop w:val="360"/>
          <w:marBottom w:val="180"/>
          <w:divBdr>
            <w:top w:val="none" w:sz="0" w:space="0" w:color="auto"/>
            <w:left w:val="none" w:sz="0" w:space="0" w:color="auto"/>
            <w:bottom w:val="none" w:sz="0" w:space="0" w:color="auto"/>
            <w:right w:val="none" w:sz="0" w:space="0" w:color="auto"/>
          </w:divBdr>
        </w:div>
        <w:div w:id="1464810009">
          <w:marLeft w:val="0"/>
          <w:marRight w:val="0"/>
          <w:marTop w:val="180"/>
          <w:marBottom w:val="240"/>
          <w:divBdr>
            <w:top w:val="none" w:sz="0" w:space="0" w:color="auto"/>
            <w:left w:val="none" w:sz="0" w:space="0" w:color="auto"/>
            <w:bottom w:val="none" w:sz="0" w:space="0" w:color="auto"/>
            <w:right w:val="none" w:sz="0" w:space="0" w:color="auto"/>
          </w:divBdr>
        </w:div>
        <w:div w:id="1797337644">
          <w:marLeft w:val="0"/>
          <w:marRight w:val="0"/>
          <w:marTop w:val="360"/>
          <w:marBottom w:val="180"/>
          <w:divBdr>
            <w:top w:val="none" w:sz="0" w:space="0" w:color="auto"/>
            <w:left w:val="none" w:sz="0" w:space="0" w:color="auto"/>
            <w:bottom w:val="none" w:sz="0" w:space="0" w:color="auto"/>
            <w:right w:val="none" w:sz="0" w:space="0" w:color="auto"/>
          </w:divBdr>
        </w:div>
        <w:div w:id="1108888549">
          <w:marLeft w:val="0"/>
          <w:marRight w:val="0"/>
          <w:marTop w:val="60"/>
          <w:marBottom w:val="180"/>
          <w:divBdr>
            <w:top w:val="none" w:sz="0" w:space="0" w:color="auto"/>
            <w:left w:val="none" w:sz="0" w:space="0" w:color="auto"/>
            <w:bottom w:val="none" w:sz="0" w:space="0" w:color="auto"/>
            <w:right w:val="none" w:sz="0" w:space="0" w:color="auto"/>
          </w:divBdr>
        </w:div>
      </w:divsChild>
    </w:div>
    <w:div w:id="1123965662">
      <w:bodyDiv w:val="1"/>
      <w:marLeft w:val="0"/>
      <w:marRight w:val="0"/>
      <w:marTop w:val="0"/>
      <w:marBottom w:val="0"/>
      <w:divBdr>
        <w:top w:val="none" w:sz="0" w:space="0" w:color="auto"/>
        <w:left w:val="none" w:sz="0" w:space="0" w:color="auto"/>
        <w:bottom w:val="none" w:sz="0" w:space="0" w:color="auto"/>
        <w:right w:val="none" w:sz="0" w:space="0" w:color="auto"/>
      </w:divBdr>
    </w:div>
    <w:div w:id="1154684843">
      <w:bodyDiv w:val="1"/>
      <w:marLeft w:val="0"/>
      <w:marRight w:val="0"/>
      <w:marTop w:val="0"/>
      <w:marBottom w:val="0"/>
      <w:divBdr>
        <w:top w:val="none" w:sz="0" w:space="0" w:color="auto"/>
        <w:left w:val="none" w:sz="0" w:space="0" w:color="auto"/>
        <w:bottom w:val="none" w:sz="0" w:space="0" w:color="auto"/>
        <w:right w:val="none" w:sz="0" w:space="0" w:color="auto"/>
      </w:divBdr>
    </w:div>
    <w:div w:id="1186021259">
      <w:bodyDiv w:val="1"/>
      <w:marLeft w:val="0"/>
      <w:marRight w:val="0"/>
      <w:marTop w:val="0"/>
      <w:marBottom w:val="0"/>
      <w:divBdr>
        <w:top w:val="none" w:sz="0" w:space="0" w:color="auto"/>
        <w:left w:val="none" w:sz="0" w:space="0" w:color="auto"/>
        <w:bottom w:val="none" w:sz="0" w:space="0" w:color="auto"/>
        <w:right w:val="none" w:sz="0" w:space="0" w:color="auto"/>
      </w:divBdr>
    </w:div>
    <w:div w:id="1750152544">
      <w:bodyDiv w:val="1"/>
      <w:marLeft w:val="0"/>
      <w:marRight w:val="0"/>
      <w:marTop w:val="0"/>
      <w:marBottom w:val="0"/>
      <w:divBdr>
        <w:top w:val="none" w:sz="0" w:space="0" w:color="auto"/>
        <w:left w:val="none" w:sz="0" w:space="0" w:color="auto"/>
        <w:bottom w:val="none" w:sz="0" w:space="0" w:color="auto"/>
        <w:right w:val="none" w:sz="0" w:space="0" w:color="auto"/>
      </w:divBdr>
      <w:divsChild>
        <w:div w:id="439493241">
          <w:marLeft w:val="0"/>
          <w:marRight w:val="0"/>
          <w:marTop w:val="360"/>
          <w:marBottom w:val="180"/>
          <w:divBdr>
            <w:top w:val="none" w:sz="0" w:space="0" w:color="auto"/>
            <w:left w:val="none" w:sz="0" w:space="0" w:color="auto"/>
            <w:bottom w:val="none" w:sz="0" w:space="0" w:color="auto"/>
            <w:right w:val="none" w:sz="0" w:space="0" w:color="auto"/>
          </w:divBdr>
        </w:div>
        <w:div w:id="378093520">
          <w:marLeft w:val="0"/>
          <w:marRight w:val="0"/>
          <w:marTop w:val="180"/>
          <w:marBottom w:val="240"/>
          <w:divBdr>
            <w:top w:val="none" w:sz="0" w:space="0" w:color="auto"/>
            <w:left w:val="none" w:sz="0" w:space="0" w:color="auto"/>
            <w:bottom w:val="none" w:sz="0" w:space="0" w:color="auto"/>
            <w:right w:val="none" w:sz="0" w:space="0" w:color="auto"/>
          </w:divBdr>
        </w:div>
        <w:div w:id="980579498">
          <w:marLeft w:val="0"/>
          <w:marRight w:val="0"/>
          <w:marTop w:val="360"/>
          <w:marBottom w:val="180"/>
          <w:divBdr>
            <w:top w:val="none" w:sz="0" w:space="0" w:color="auto"/>
            <w:left w:val="none" w:sz="0" w:space="0" w:color="auto"/>
            <w:bottom w:val="none" w:sz="0" w:space="0" w:color="auto"/>
            <w:right w:val="none" w:sz="0" w:space="0" w:color="auto"/>
          </w:divBdr>
        </w:div>
        <w:div w:id="560867086">
          <w:marLeft w:val="0"/>
          <w:marRight w:val="0"/>
          <w:marTop w:val="60"/>
          <w:marBottom w:val="180"/>
          <w:divBdr>
            <w:top w:val="none" w:sz="0" w:space="0" w:color="auto"/>
            <w:left w:val="none" w:sz="0" w:space="0" w:color="auto"/>
            <w:bottom w:val="none" w:sz="0" w:space="0" w:color="auto"/>
            <w:right w:val="none" w:sz="0" w:space="0" w:color="auto"/>
          </w:divBdr>
        </w:div>
      </w:divsChild>
    </w:div>
    <w:div w:id="1950314753">
      <w:bodyDiv w:val="1"/>
      <w:marLeft w:val="0"/>
      <w:marRight w:val="0"/>
      <w:marTop w:val="0"/>
      <w:marBottom w:val="0"/>
      <w:divBdr>
        <w:top w:val="none" w:sz="0" w:space="0" w:color="auto"/>
        <w:left w:val="none" w:sz="0" w:space="0" w:color="auto"/>
        <w:bottom w:val="none" w:sz="0" w:space="0" w:color="auto"/>
        <w:right w:val="none" w:sz="0" w:space="0" w:color="auto"/>
      </w:divBdr>
      <w:divsChild>
        <w:div w:id="559173992">
          <w:marLeft w:val="0"/>
          <w:marRight w:val="0"/>
          <w:marTop w:val="360"/>
          <w:marBottom w:val="180"/>
          <w:divBdr>
            <w:top w:val="none" w:sz="0" w:space="0" w:color="auto"/>
            <w:left w:val="none" w:sz="0" w:space="0" w:color="auto"/>
            <w:bottom w:val="none" w:sz="0" w:space="0" w:color="auto"/>
            <w:right w:val="none" w:sz="0" w:space="0" w:color="auto"/>
          </w:divBdr>
        </w:div>
        <w:div w:id="572084638">
          <w:marLeft w:val="0"/>
          <w:marRight w:val="0"/>
          <w:marTop w:val="180"/>
          <w:marBottom w:val="240"/>
          <w:divBdr>
            <w:top w:val="none" w:sz="0" w:space="0" w:color="auto"/>
            <w:left w:val="none" w:sz="0" w:space="0" w:color="auto"/>
            <w:bottom w:val="none" w:sz="0" w:space="0" w:color="auto"/>
            <w:right w:val="none" w:sz="0" w:space="0" w:color="auto"/>
          </w:divBdr>
        </w:div>
        <w:div w:id="1298530923">
          <w:marLeft w:val="0"/>
          <w:marRight w:val="0"/>
          <w:marTop w:val="360"/>
          <w:marBottom w:val="180"/>
          <w:divBdr>
            <w:top w:val="none" w:sz="0" w:space="0" w:color="auto"/>
            <w:left w:val="none" w:sz="0" w:space="0" w:color="auto"/>
            <w:bottom w:val="none" w:sz="0" w:space="0" w:color="auto"/>
            <w:right w:val="none" w:sz="0" w:space="0" w:color="auto"/>
          </w:divBdr>
        </w:div>
        <w:div w:id="1266646752">
          <w:marLeft w:val="0"/>
          <w:marRight w:val="0"/>
          <w:marTop w:val="60"/>
          <w:marBottom w:val="1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10</Pages>
  <Words>2819</Words>
  <Characters>16071</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prominance fungurayi</dc:creator>
  <cp:keywords/>
  <dc:description/>
  <cp:lastModifiedBy>prominance fungurayi</cp:lastModifiedBy>
  <cp:revision>61</cp:revision>
  <dcterms:created xsi:type="dcterms:W3CDTF">2026-08-06T08:19:00Z</dcterms:created>
  <dcterms:modified xsi:type="dcterms:W3CDTF">2026-08-28T23:39:00Z</dcterms:modified>
</cp:coreProperties>
</file>