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A61747" w14:textId="11FFFACE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b/>
          <w:bCs/>
          <w:sz w:val="24"/>
          <w:szCs w:val="24"/>
          <w:lang w:val="en-ZW"/>
        </w:rPr>
        <w:t>References</w:t>
      </w:r>
      <w:r>
        <w:rPr>
          <w:rFonts w:ascii="Times New Roman" w:hAnsi="Times New Roman" w:cs="Times New Roman"/>
          <w:b/>
          <w:bCs/>
          <w:sz w:val="24"/>
          <w:szCs w:val="24"/>
          <w:lang w:val="en-ZW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ZW"/>
        </w:rPr>
        <w:br/>
        <w:t>Chapter 1</w:t>
      </w:r>
    </w:p>
    <w:p w14:paraId="39D80404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[1] GSMA,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State of the Industry Report on Mobile Money 2025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London, U.K.: GSMA, 2025.</w:t>
      </w:r>
    </w:p>
    <w:p w14:paraId="2F1EE5CC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[2] Reserve Bank of Zimbabwe,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National Financial Inclusion Strategy II 2022–2026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Harare, Zimbabwe: Reserve Bank of Zimbabwe, 2022.</w:t>
      </w:r>
    </w:p>
    <w:p w14:paraId="4F627C81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[3] A.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Demirgüç-Kunt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L.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Klapper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D. Singer, and S. Ansar,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The Global Findex Database 2021: Financial Inclusion, Digital Payments, and Resilience in the Age of COVID-19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Washington, DC, USA: World Bank, 2022.</w:t>
      </w:r>
    </w:p>
    <w:p w14:paraId="104F3FF3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[4] B. Whisker and M. E.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Lokanan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“Anti-money laundering and counter-terrorist financing threats posed by mobile money,”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Journal of Money Laundering Control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22, no. 1, pp. 158–172, 2019.</w:t>
      </w:r>
    </w:p>
    <w:p w14:paraId="4B551402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[5] R. I. T. Jensen and A.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Iosifidis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“Fighting money laundering with statistics and machine learning,”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IEEE Access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11, pp. 8889–8903, 2023.</w:t>
      </w:r>
    </w:p>
    <w:p w14:paraId="19ED7C8D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[6] P.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Tertychnyi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M.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Godgildieva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M. Dumas, and M. Ollikainen, “Time-aware and interpretable predictive monitoring system for Anti-Money Laundering,”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Machine Learning with Applications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8, Art. no. 100306, 2022.</w:t>
      </w:r>
    </w:p>
    <w:p w14:paraId="46CFEF4F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[7] E. R. Altman, J.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Blanuša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L. von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Niederhäusern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B.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Egressy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A.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Anghel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and K.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Atasu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“Realistic synthetic financial transactions for Anti-Money Laundering models,” in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Advances in Neural Information Processing Systems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36, 2023.</w:t>
      </w:r>
    </w:p>
    <w:p w14:paraId="321C8B7B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[8] E. A.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Akartuna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S. D. Johnson, and A. Thornton, “Preventing the money laundering and terrorist financing risks of emerging technologies: An international policy Delphi study,”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Technological Forecasting and Social Change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, vol. 179, Art. no. 121632, 2022.</w:t>
      </w:r>
    </w:p>
    <w:p w14:paraId="0C1FC919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[9] Financial Action Task Force,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Opportunities and Challenges of New Technologies for AML/CFT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Paris, France: FATF, 2021.</w:t>
      </w:r>
    </w:p>
    <w:p w14:paraId="3A728EA3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[10] Financial Action Task Force and Egmont Group,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Digital Transformation of AML/CFT for Operational Agencies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Paris, France: FATF, 2021.</w:t>
      </w:r>
    </w:p>
    <w:p w14:paraId="57D6D2CA" w14:textId="77777777" w:rsidR="00320875" w:rsidRP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lastRenderedPageBreak/>
        <w:t xml:space="preserve">[11] Eastern and Southern Africa Anti-Money Laundering Group, </w:t>
      </w:r>
      <w:r w:rsidRPr="00320875">
        <w:rPr>
          <w:rFonts w:ascii="Times New Roman" w:hAnsi="Times New Roman" w:cs="Times New Roman"/>
          <w:i/>
          <w:iCs/>
          <w:sz w:val="24"/>
          <w:szCs w:val="24"/>
          <w:lang w:val="en-ZW"/>
        </w:rPr>
        <w:t>Anti-Money Laundering and Counter-Terrorist Financing Measures: Zimbabwe—Enhanced Follow-Up Report and Technical Compliance Re-Rating</w:t>
      </w:r>
      <w:r w:rsidRPr="00320875">
        <w:rPr>
          <w:rFonts w:ascii="Times New Roman" w:hAnsi="Times New Roman" w:cs="Times New Roman"/>
          <w:sz w:val="24"/>
          <w:szCs w:val="24"/>
          <w:lang w:val="en-ZW"/>
        </w:rPr>
        <w:t>. Dar es Salaam, Tanzania: ESAAMLG, 2024.</w:t>
      </w:r>
    </w:p>
    <w:p w14:paraId="67616579" w14:textId="77777777" w:rsidR="00320875" w:rsidRDefault="00320875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[12] A. Mohammed, M. B.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Bashier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 xml:space="preserve">, and M. B. </w:t>
      </w:r>
      <w:proofErr w:type="spellStart"/>
      <w:r w:rsidRPr="00320875">
        <w:rPr>
          <w:rFonts w:ascii="Times New Roman" w:hAnsi="Times New Roman" w:cs="Times New Roman"/>
          <w:sz w:val="24"/>
          <w:szCs w:val="24"/>
          <w:lang w:val="en-ZW"/>
        </w:rPr>
        <w:t>Bashier</w:t>
      </w:r>
      <w:proofErr w:type="spellEnd"/>
      <w:r w:rsidRPr="00320875">
        <w:rPr>
          <w:rFonts w:ascii="Times New Roman" w:hAnsi="Times New Roman" w:cs="Times New Roman"/>
          <w:sz w:val="24"/>
          <w:szCs w:val="24"/>
          <w:lang w:val="en-ZW"/>
        </w:rPr>
        <w:t>, “Machine learning for anti-money laundering: A review,” 2022.</w:t>
      </w:r>
    </w:p>
    <w:p w14:paraId="3058B190" w14:textId="77777777" w:rsidR="00F61E0C" w:rsidRDefault="00F61E0C" w:rsidP="0032087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</w:p>
    <w:p w14:paraId="3224FCB6" w14:textId="77777777" w:rsidR="00F61E0C" w:rsidRDefault="00F61E0C" w:rsidP="00F61E0C">
      <w:pPr>
        <w:rPr>
          <w:rFonts w:eastAsia="Times New Roman"/>
          <w:b/>
          <w:bCs/>
          <w:lang w:val="en-ZW"/>
        </w:rPr>
      </w:pPr>
    </w:p>
    <w:p w14:paraId="4FFFADFB" w14:textId="1C7812B5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Chapter 2</w:t>
      </w:r>
    </w:p>
    <w:p w14:paraId="1EC24430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[13]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A.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Dornbierer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Quick Guide 18: Mobile Money and Financial Crime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. Basel, Switzerland: Basel Institute on Governance, 2020.</w:t>
      </w:r>
    </w:p>
    <w:p w14:paraId="1DBE9C4A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[14]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INTERPOL,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Mobile Money and Organised Crime in Africa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. Lyon, France: INTERPOL, 2020.</w:t>
      </w:r>
    </w:p>
    <w:p w14:paraId="347E74DC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[15]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M. Weber, G.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Domeniconi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J. Chen, D. K. I.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Weidele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C.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Bellei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T. Robinson, and C. E.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Leiserson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“Anti-money laundering in Bitcoin: Experimenting with graph convolutional networks for financial forensics,” in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Proc. KDD Workshop on Anomaly Detection in Finance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2019.</w:t>
      </w:r>
    </w:p>
    <w:p w14:paraId="7255FBAD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[16]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M. Weber, J. Chen, T.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Suzumura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A. Pareja, T. Ma, H.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Kanezashi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T.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Kaler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C. E.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Leiserson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T. B.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Schardl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“Scalable graph learning for anti-money laundering: A first look,” in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 xml:space="preserve">Proc. </w:t>
      </w:r>
      <w:proofErr w:type="spellStart"/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NeurIPS</w:t>
      </w:r>
      <w:proofErr w:type="spellEnd"/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 xml:space="preserve"> Workshop on Challenges and Opportunities for AI in Financial Services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2018.</w:t>
      </w:r>
    </w:p>
    <w:p w14:paraId="67A5214B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[17]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H.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Chitimira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and P. Ncube, “The nexus between mobile money regulation, innovative technology and the promotion of financial inclusion in Zimbabwe,”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Potchefstroom Electronic Law Journal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vol. 24, 2021.</w:t>
      </w:r>
    </w:p>
    <w:p w14:paraId="44FB276B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[18]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H.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Chitimira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and P. Ncube, “Policy implications and mobile money regulatory approaches to promote financial inclusion of the poor in Zimbabwe after the COVID-19 pandemic,”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Journal of Comparative Law in Africa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2023.</w:t>
      </w:r>
    </w:p>
    <w:p w14:paraId="7224004C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[19]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M.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Jullum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Løland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R. B.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Huseby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G.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Ånonsen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J.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Lorentzen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“Detecting money laundering transactions with machine learning,”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Journal of Money Laundering Control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vol. 23, no. 1, pp. 173–186, 2020,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doi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: 10.1108/JMLC-07-2019-0055.</w:t>
      </w:r>
    </w:p>
    <w:p w14:paraId="6A2C47F0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lastRenderedPageBreak/>
        <w:t>[20]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S.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Dreżewski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J.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Sepielak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W.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Filipkowski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“The application of social network analysis algorithms in a system supporting money laundering detection,”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Information Sciences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, vol. 295, pp. 18–32, 2015.</w:t>
      </w:r>
    </w:p>
    <w:p w14:paraId="3FD0A46B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ZW"/>
        </w:rPr>
      </w:pPr>
      <w:r w:rsidRPr="00AC33B8">
        <w:rPr>
          <w:rFonts w:ascii="Times New Roman" w:eastAsia="Times New Roman" w:hAnsi="Times New Roman" w:cs="Times New Roman"/>
          <w:b/>
          <w:bCs/>
          <w:sz w:val="24"/>
          <w:szCs w:val="24"/>
          <w:lang w:val="en-ZW"/>
        </w:rPr>
        <w:t>[21]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 B. Ndlovu, F. J.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Kiwa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M.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Muduva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C. T.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Chipfumbu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S.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Marambi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and A. Maphosa, “Developing a graph-based machine learning model for identifying money laundering networks associated with sanctioned entities in a bank in Zimbabwe,” </w:t>
      </w:r>
      <w:r w:rsidRPr="00AC33B8">
        <w:rPr>
          <w:rFonts w:ascii="Times New Roman" w:eastAsia="Times New Roman" w:hAnsi="Times New Roman" w:cs="Times New Roman"/>
          <w:i/>
          <w:iCs/>
          <w:sz w:val="24"/>
          <w:szCs w:val="24"/>
          <w:lang w:val="en-ZW"/>
        </w:rPr>
        <w:t>Indonesian Journal of Innovation and Applied Sciences</w:t>
      </w:r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 xml:space="preserve">, vol. 6, no. 1, 2026, </w:t>
      </w:r>
      <w:proofErr w:type="spell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doi</w:t>
      </w:r>
      <w:proofErr w:type="spell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: 10.47540/</w:t>
      </w:r>
      <w:proofErr w:type="gramStart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ijias.v</w:t>
      </w:r>
      <w:proofErr w:type="gramEnd"/>
      <w:r w:rsidRPr="00AC33B8">
        <w:rPr>
          <w:rFonts w:ascii="Times New Roman" w:eastAsia="Times New Roman" w:hAnsi="Times New Roman" w:cs="Times New Roman"/>
          <w:sz w:val="24"/>
          <w:szCs w:val="24"/>
          <w:lang w:val="en-ZW"/>
        </w:rPr>
        <w:t>6i1.2306.</w:t>
      </w:r>
    </w:p>
    <w:p w14:paraId="42407BBB" w14:textId="77777777" w:rsidR="00F61E0C" w:rsidRPr="00AC33B8" w:rsidRDefault="00F61E0C" w:rsidP="00AC33B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7AE161" w14:textId="77777777" w:rsidR="00F61E0C" w:rsidRPr="00AC33B8" w:rsidRDefault="00F61E0C" w:rsidP="00AC33B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ZW"/>
        </w:rPr>
      </w:pPr>
    </w:p>
    <w:p w14:paraId="3BD417ED" w14:textId="77777777" w:rsidR="00BD6A76" w:rsidRPr="00AC33B8" w:rsidRDefault="00BD6A76" w:rsidP="00AC33B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BD6A76" w:rsidRPr="00AC33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75"/>
    <w:rsid w:val="001101AB"/>
    <w:rsid w:val="00320875"/>
    <w:rsid w:val="00AC33B8"/>
    <w:rsid w:val="00BD6A76"/>
    <w:rsid w:val="00C01858"/>
    <w:rsid w:val="00DF3E61"/>
    <w:rsid w:val="00F61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A4958"/>
  <w15:chartTrackingRefBased/>
  <w15:docId w15:val="{D7D29F15-E7B0-459B-8F25-367E7E898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8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8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8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8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8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8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8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8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8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8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8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8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8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8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8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8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8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0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613</Words>
  <Characters>3497</Characters>
  <Application>Microsoft Office Word</Application>
  <DocSecurity>0</DocSecurity>
  <Lines>29</Lines>
  <Paragraphs>8</Paragraphs>
  <ScaleCrop>false</ScaleCrop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prominance fungurayi</dc:creator>
  <cp:keywords/>
  <dc:description/>
  <cp:lastModifiedBy>prominance fungurayi</cp:lastModifiedBy>
  <cp:revision>3</cp:revision>
  <dcterms:created xsi:type="dcterms:W3CDTF">2026-09-20T22:26:00Z</dcterms:created>
  <dcterms:modified xsi:type="dcterms:W3CDTF">2026-09-20T22:56:00Z</dcterms:modified>
</cp:coreProperties>
</file>