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67ADE3"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CHAPTER 4: RESULTS AND DISCUSSION</w:t>
      </w:r>
    </w:p>
    <w:p w14:paraId="1D86AA58"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 Introduction</w:t>
      </w:r>
    </w:p>
    <w:p w14:paraId="5241B36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This chapter presents and discusses the results obtained from the development, training, evaluation and integration of the mobile-money Anti-Money Laundering (AML) decision-support system. The results are considered in relation to the research aim and the five objectives established in Chapter 1.</w:t>
      </w:r>
    </w:p>
    <w:p w14:paraId="3D8B800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evaluation was conducted using the frozen 30-feature machine-learning architecture described in Chapter 3. The official model was a Gradient Boosting classifier trained using the 60,000-transaction training partition. Model selection and threshold determination were performed using the 15,000-transaction validation partition before the classifier and its 0.35 decision threshold were frozen. The model was subsequently evaluated using the 15,000-transaction final-test partition and the separate 10,000-transaction independent-evaluation partition.</w:t>
      </w:r>
    </w:p>
    <w:p w14:paraId="2BBB8D0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evaluation considered overall classification performance as well as performance on the minority suspicious class. This was important because class imbalance can make overall accuracy an incomplete measure of AML model performance [5]. AML machine-learning research has also demonstrated the importance of considering historical behaviour and using model outputs to prioritise activity for investigation rather than treating predictions as automatic evidence of money laundering [19]. </w:t>
      </w:r>
    </w:p>
    <w:p w14:paraId="551ECC8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Particular attention was given to the three behavioural dimensions addressed by this research: structuring, wallet/transaction-network and agent behaviour. The chapter also reports controlled experiments conducted after establishment of the official model and discusses application integration and functional testing.</w:t>
      </w:r>
    </w:p>
    <w:p w14:paraId="1999B96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results were obtained using synthetic mobile-money data. Synthetic financial datasets can provide controlled ground truth where genuine AML transaction data and complete labels are difficult to obtain [7]. However, performance on synthetic data does not establish equivalent performance in a live mobile-money environment. </w:t>
      </w:r>
    </w:p>
    <w:p w14:paraId="396A742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 Final Dataset and Feature Matrix Results</w:t>
      </w:r>
    </w:p>
    <w:p w14:paraId="43F66D1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The completed synthetic dataset contained 100,000 mobile-money transactions involving 2,000 wallets and 160 agents. The dataset contained 88,000 normal transactions and 12,000 suspicious-pattern transactions, producing an 88:12 class distribution.</w:t>
      </w:r>
    </w:p>
    <w:p w14:paraId="5FC4917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suspicious-pattern transactions represented the three behavioural dimensions investigated by the study. Four suspicious scenario families were generated for each dimension, resulting in twelve scenario families containing 1,000 suspicious examples each.</w:t>
      </w:r>
    </w:p>
    <w:p w14:paraId="130CF785" w14:textId="77777777" w:rsid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Synthetic data were appropriate for the controlled experimental stage because real AML transaction datasets are generally difficult to obtain and may contain incomplete ground-truth information [5], [7]. The use of a controlled generator allowed the research to know which observations originated from the intentionally generated suspicious scenarios. </w:t>
      </w:r>
    </w:p>
    <w:p w14:paraId="7E11A7D8" w14:textId="77777777" w:rsidR="00B84BA6" w:rsidRPr="00B84BA6" w:rsidRDefault="00B84BA6" w:rsidP="00B84BA6">
      <w:pPr>
        <w:spacing w:line="360" w:lineRule="auto"/>
        <w:jc w:val="both"/>
        <w:rPr>
          <w:rFonts w:ascii="Times New Roman" w:hAnsi="Times New Roman" w:cs="Times New Roman"/>
          <w:sz w:val="24"/>
          <w:szCs w:val="24"/>
          <w:lang w:val="en-ZW"/>
        </w:rPr>
      </w:pPr>
    </w:p>
    <w:p w14:paraId="73805DC3"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4.1 presents the final dataset composition.</w:t>
      </w:r>
    </w:p>
    <w:p w14:paraId="1E9A07B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4.1: Final Synthetic Dataset Composition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7"/>
        <w:gridCol w:w="875"/>
      </w:tblGrid>
      <w:tr w:rsidR="00B84BA6" w:rsidRPr="00B84BA6" w14:paraId="5CC7171D" w14:textId="77777777" w:rsidTr="00B84BA6">
        <w:trPr>
          <w:tblHeader/>
          <w:tblCellSpacing w:w="15" w:type="dxa"/>
        </w:trPr>
        <w:tc>
          <w:tcPr>
            <w:tcW w:w="0" w:type="auto"/>
            <w:vAlign w:val="center"/>
            <w:hideMark/>
          </w:tcPr>
          <w:p w14:paraId="1627A7EB"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Characteristic</w:t>
            </w:r>
          </w:p>
        </w:tc>
        <w:tc>
          <w:tcPr>
            <w:tcW w:w="0" w:type="auto"/>
            <w:vAlign w:val="center"/>
            <w:hideMark/>
          </w:tcPr>
          <w:p w14:paraId="0A619613"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Result</w:t>
            </w:r>
          </w:p>
        </w:tc>
      </w:tr>
      <w:tr w:rsidR="00B84BA6" w:rsidRPr="00B84BA6" w14:paraId="70CC79F6" w14:textId="77777777" w:rsidTr="00B84BA6">
        <w:trPr>
          <w:tblCellSpacing w:w="15" w:type="dxa"/>
        </w:trPr>
        <w:tc>
          <w:tcPr>
            <w:tcW w:w="0" w:type="auto"/>
            <w:vAlign w:val="center"/>
            <w:hideMark/>
          </w:tcPr>
          <w:p w14:paraId="5CCEA6E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Total transactions</w:t>
            </w:r>
          </w:p>
        </w:tc>
        <w:tc>
          <w:tcPr>
            <w:tcW w:w="0" w:type="auto"/>
            <w:vAlign w:val="center"/>
            <w:hideMark/>
          </w:tcPr>
          <w:p w14:paraId="7EE6A17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100,000</w:t>
            </w:r>
          </w:p>
        </w:tc>
      </w:tr>
      <w:tr w:rsidR="00B84BA6" w:rsidRPr="00B84BA6" w14:paraId="3C6E29B4" w14:textId="77777777" w:rsidTr="00B84BA6">
        <w:trPr>
          <w:tblCellSpacing w:w="15" w:type="dxa"/>
        </w:trPr>
        <w:tc>
          <w:tcPr>
            <w:tcW w:w="0" w:type="auto"/>
            <w:vAlign w:val="center"/>
            <w:hideMark/>
          </w:tcPr>
          <w:p w14:paraId="6F6FD3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transactions</w:t>
            </w:r>
          </w:p>
        </w:tc>
        <w:tc>
          <w:tcPr>
            <w:tcW w:w="0" w:type="auto"/>
            <w:vAlign w:val="center"/>
            <w:hideMark/>
          </w:tcPr>
          <w:p w14:paraId="301BFAB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88,000</w:t>
            </w:r>
          </w:p>
        </w:tc>
      </w:tr>
      <w:tr w:rsidR="00B84BA6" w:rsidRPr="00B84BA6" w14:paraId="6812743E" w14:textId="77777777" w:rsidTr="00B84BA6">
        <w:trPr>
          <w:tblCellSpacing w:w="15" w:type="dxa"/>
        </w:trPr>
        <w:tc>
          <w:tcPr>
            <w:tcW w:w="0" w:type="auto"/>
            <w:vAlign w:val="center"/>
            <w:hideMark/>
          </w:tcPr>
          <w:p w14:paraId="6942B57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Suspicious-pattern transactions</w:t>
            </w:r>
          </w:p>
        </w:tc>
        <w:tc>
          <w:tcPr>
            <w:tcW w:w="0" w:type="auto"/>
            <w:vAlign w:val="center"/>
            <w:hideMark/>
          </w:tcPr>
          <w:p w14:paraId="3F3825E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12,000</w:t>
            </w:r>
          </w:p>
        </w:tc>
      </w:tr>
      <w:tr w:rsidR="00B84BA6" w:rsidRPr="00B84BA6" w14:paraId="0BBE2C17" w14:textId="77777777" w:rsidTr="00B84BA6">
        <w:trPr>
          <w:tblCellSpacing w:w="15" w:type="dxa"/>
        </w:trPr>
        <w:tc>
          <w:tcPr>
            <w:tcW w:w="0" w:type="auto"/>
            <w:vAlign w:val="center"/>
            <w:hideMark/>
          </w:tcPr>
          <w:p w14:paraId="2702554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proportion</w:t>
            </w:r>
          </w:p>
        </w:tc>
        <w:tc>
          <w:tcPr>
            <w:tcW w:w="0" w:type="auto"/>
            <w:vAlign w:val="center"/>
            <w:hideMark/>
          </w:tcPr>
          <w:p w14:paraId="1F8D533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w:t>
            </w:r>
          </w:p>
        </w:tc>
      </w:tr>
      <w:tr w:rsidR="00B84BA6" w:rsidRPr="00B84BA6" w14:paraId="18883303" w14:textId="77777777" w:rsidTr="00B84BA6">
        <w:trPr>
          <w:tblCellSpacing w:w="15" w:type="dxa"/>
        </w:trPr>
        <w:tc>
          <w:tcPr>
            <w:tcW w:w="0" w:type="auto"/>
            <w:vAlign w:val="center"/>
            <w:hideMark/>
          </w:tcPr>
          <w:p w14:paraId="19AE304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proportion</w:t>
            </w:r>
          </w:p>
        </w:tc>
        <w:tc>
          <w:tcPr>
            <w:tcW w:w="0" w:type="auto"/>
            <w:vAlign w:val="center"/>
            <w:hideMark/>
          </w:tcPr>
          <w:p w14:paraId="4A7F811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w:t>
            </w:r>
          </w:p>
        </w:tc>
      </w:tr>
      <w:tr w:rsidR="00B84BA6" w:rsidRPr="00B84BA6" w14:paraId="2D482424" w14:textId="77777777" w:rsidTr="00B84BA6">
        <w:trPr>
          <w:tblCellSpacing w:w="15" w:type="dxa"/>
        </w:trPr>
        <w:tc>
          <w:tcPr>
            <w:tcW w:w="0" w:type="auto"/>
            <w:vAlign w:val="center"/>
            <w:hideMark/>
          </w:tcPr>
          <w:p w14:paraId="3C19C3E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Customer wallets</w:t>
            </w:r>
          </w:p>
        </w:tc>
        <w:tc>
          <w:tcPr>
            <w:tcW w:w="0" w:type="auto"/>
            <w:vAlign w:val="center"/>
            <w:hideMark/>
          </w:tcPr>
          <w:p w14:paraId="437CFEC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2,000</w:t>
            </w:r>
          </w:p>
        </w:tc>
      </w:tr>
      <w:tr w:rsidR="00B84BA6" w:rsidRPr="00B84BA6" w14:paraId="6D30025C" w14:textId="77777777" w:rsidTr="00B84BA6">
        <w:trPr>
          <w:tblCellSpacing w:w="15" w:type="dxa"/>
        </w:trPr>
        <w:tc>
          <w:tcPr>
            <w:tcW w:w="0" w:type="auto"/>
            <w:vAlign w:val="center"/>
            <w:hideMark/>
          </w:tcPr>
          <w:p w14:paraId="439F43D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Mobile-money agents</w:t>
            </w:r>
          </w:p>
        </w:tc>
        <w:tc>
          <w:tcPr>
            <w:tcW w:w="0" w:type="auto"/>
            <w:vAlign w:val="center"/>
            <w:hideMark/>
          </w:tcPr>
          <w:p w14:paraId="4FFB0D0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160</w:t>
            </w:r>
          </w:p>
        </w:tc>
      </w:tr>
      <w:tr w:rsidR="00B84BA6" w:rsidRPr="00B84BA6" w14:paraId="2732A43E" w14:textId="77777777" w:rsidTr="00B84BA6">
        <w:trPr>
          <w:tblCellSpacing w:w="15" w:type="dxa"/>
        </w:trPr>
        <w:tc>
          <w:tcPr>
            <w:tcW w:w="0" w:type="auto"/>
            <w:vAlign w:val="center"/>
            <w:hideMark/>
          </w:tcPr>
          <w:p w14:paraId="65D7796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Behavioural dimensions</w:t>
            </w:r>
          </w:p>
        </w:tc>
        <w:tc>
          <w:tcPr>
            <w:tcW w:w="0" w:type="auto"/>
            <w:vAlign w:val="center"/>
            <w:hideMark/>
          </w:tcPr>
          <w:p w14:paraId="165A747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w:t>
            </w:r>
          </w:p>
        </w:tc>
      </w:tr>
      <w:tr w:rsidR="00B84BA6" w:rsidRPr="00B84BA6" w14:paraId="11979C3A" w14:textId="77777777" w:rsidTr="00B84BA6">
        <w:trPr>
          <w:tblCellSpacing w:w="15" w:type="dxa"/>
        </w:trPr>
        <w:tc>
          <w:tcPr>
            <w:tcW w:w="0" w:type="auto"/>
            <w:vAlign w:val="center"/>
            <w:hideMark/>
          </w:tcPr>
          <w:p w14:paraId="5CD39C0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scenario families</w:t>
            </w:r>
          </w:p>
        </w:tc>
        <w:tc>
          <w:tcPr>
            <w:tcW w:w="0" w:type="auto"/>
            <w:vAlign w:val="center"/>
            <w:hideMark/>
          </w:tcPr>
          <w:p w14:paraId="3D160A5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w:t>
            </w:r>
          </w:p>
        </w:tc>
      </w:tr>
      <w:tr w:rsidR="00B84BA6" w:rsidRPr="00B84BA6" w14:paraId="4DF92478" w14:textId="77777777" w:rsidTr="00B84BA6">
        <w:trPr>
          <w:tblCellSpacing w:w="15" w:type="dxa"/>
        </w:trPr>
        <w:tc>
          <w:tcPr>
            <w:tcW w:w="0" w:type="auto"/>
            <w:vAlign w:val="center"/>
            <w:hideMark/>
          </w:tcPr>
          <w:p w14:paraId="005110C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Suspicious examples per scenario</w:t>
            </w:r>
          </w:p>
        </w:tc>
        <w:tc>
          <w:tcPr>
            <w:tcW w:w="0" w:type="auto"/>
            <w:vAlign w:val="center"/>
            <w:hideMark/>
          </w:tcPr>
          <w:p w14:paraId="40FD3C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w:t>
            </w:r>
          </w:p>
        </w:tc>
      </w:tr>
      <w:tr w:rsidR="00B84BA6" w:rsidRPr="00B84BA6" w14:paraId="09B94A58" w14:textId="77777777" w:rsidTr="00B84BA6">
        <w:trPr>
          <w:tblCellSpacing w:w="15" w:type="dxa"/>
        </w:trPr>
        <w:tc>
          <w:tcPr>
            <w:tcW w:w="0" w:type="auto"/>
            <w:vAlign w:val="center"/>
            <w:hideMark/>
          </w:tcPr>
          <w:p w14:paraId="69F8ED5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Agent-mediated transactions</w:t>
            </w:r>
          </w:p>
        </w:tc>
        <w:tc>
          <w:tcPr>
            <w:tcW w:w="0" w:type="auto"/>
            <w:vAlign w:val="center"/>
            <w:hideMark/>
          </w:tcPr>
          <w:p w14:paraId="0DB5924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75%</w:t>
            </w:r>
          </w:p>
        </w:tc>
      </w:tr>
      <w:tr w:rsidR="00B84BA6" w:rsidRPr="00B84BA6" w14:paraId="51712BE7" w14:textId="77777777" w:rsidTr="00B84BA6">
        <w:trPr>
          <w:tblCellSpacing w:w="15" w:type="dxa"/>
        </w:trPr>
        <w:tc>
          <w:tcPr>
            <w:tcW w:w="0" w:type="auto"/>
            <w:vAlign w:val="center"/>
            <w:hideMark/>
          </w:tcPr>
          <w:p w14:paraId="2465CD5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Direct Wallet-to-Wallet transactions</w:t>
            </w:r>
          </w:p>
        </w:tc>
        <w:tc>
          <w:tcPr>
            <w:tcW w:w="0" w:type="auto"/>
            <w:vAlign w:val="center"/>
            <w:hideMark/>
          </w:tcPr>
          <w:p w14:paraId="70824A8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25%</w:t>
            </w:r>
          </w:p>
        </w:tc>
      </w:tr>
    </w:tbl>
    <w:p w14:paraId="023A4FA5" w14:textId="77777777" w:rsidR="006A6D29" w:rsidRDefault="006A6D29" w:rsidP="00B84BA6">
      <w:pPr>
        <w:spacing w:line="360" w:lineRule="auto"/>
        <w:jc w:val="both"/>
        <w:rPr>
          <w:rFonts w:ascii="Times New Roman" w:hAnsi="Times New Roman" w:cs="Times New Roman"/>
          <w:sz w:val="24"/>
          <w:szCs w:val="24"/>
          <w:lang w:val="en-ZW"/>
        </w:rPr>
      </w:pPr>
    </w:p>
    <w:p w14:paraId="7DAE0C43" w14:textId="015A59F9"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dataset was divided into training, validation, final-test and independent-evaluation populations.</w:t>
      </w:r>
    </w:p>
    <w:p w14:paraId="44829495" w14:textId="77777777" w:rsidR="006A6D29" w:rsidRDefault="006A6D29" w:rsidP="00B84BA6">
      <w:pPr>
        <w:spacing w:line="360" w:lineRule="auto"/>
        <w:jc w:val="both"/>
        <w:rPr>
          <w:rFonts w:ascii="Times New Roman" w:hAnsi="Times New Roman" w:cs="Times New Roman"/>
          <w:sz w:val="24"/>
          <w:szCs w:val="24"/>
          <w:lang w:val="en-ZW"/>
        </w:rPr>
      </w:pPr>
    </w:p>
    <w:p w14:paraId="19197442" w14:textId="120E2A89"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4.2: Final Dataset Partition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1"/>
        <w:gridCol w:w="1414"/>
        <w:gridCol w:w="867"/>
        <w:gridCol w:w="1161"/>
        <w:gridCol w:w="854"/>
        <w:gridCol w:w="802"/>
      </w:tblGrid>
      <w:tr w:rsidR="00B84BA6" w:rsidRPr="00B84BA6" w14:paraId="4D6AF1F5" w14:textId="77777777" w:rsidTr="006A6D29">
        <w:trPr>
          <w:tblHeader/>
          <w:tblCellSpacing w:w="15" w:type="dxa"/>
        </w:trPr>
        <w:tc>
          <w:tcPr>
            <w:tcW w:w="0" w:type="auto"/>
            <w:vAlign w:val="center"/>
            <w:hideMark/>
          </w:tcPr>
          <w:p w14:paraId="008DBCA8"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Partition</w:t>
            </w:r>
          </w:p>
        </w:tc>
        <w:tc>
          <w:tcPr>
            <w:tcW w:w="0" w:type="auto"/>
            <w:vAlign w:val="center"/>
            <w:hideMark/>
          </w:tcPr>
          <w:p w14:paraId="588B20B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Transactions</w:t>
            </w:r>
          </w:p>
        </w:tc>
        <w:tc>
          <w:tcPr>
            <w:tcW w:w="0" w:type="auto"/>
            <w:vAlign w:val="center"/>
            <w:hideMark/>
          </w:tcPr>
          <w:p w14:paraId="6C73FD3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Normal</w:t>
            </w:r>
          </w:p>
        </w:tc>
        <w:tc>
          <w:tcPr>
            <w:tcW w:w="0" w:type="auto"/>
            <w:vAlign w:val="center"/>
            <w:hideMark/>
          </w:tcPr>
          <w:p w14:paraId="38C59393"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Suspicious</w:t>
            </w:r>
          </w:p>
        </w:tc>
        <w:tc>
          <w:tcPr>
            <w:tcW w:w="0" w:type="auto"/>
            <w:vAlign w:val="center"/>
            <w:hideMark/>
          </w:tcPr>
          <w:p w14:paraId="0EBB469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Wallets</w:t>
            </w:r>
          </w:p>
        </w:tc>
        <w:tc>
          <w:tcPr>
            <w:tcW w:w="0" w:type="auto"/>
            <w:vAlign w:val="center"/>
            <w:hideMark/>
          </w:tcPr>
          <w:p w14:paraId="4190070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Agents</w:t>
            </w:r>
          </w:p>
        </w:tc>
      </w:tr>
      <w:tr w:rsidR="00B84BA6" w:rsidRPr="00B84BA6" w14:paraId="14BBD891" w14:textId="77777777" w:rsidTr="006A6D29">
        <w:trPr>
          <w:tblCellSpacing w:w="15" w:type="dxa"/>
        </w:trPr>
        <w:tc>
          <w:tcPr>
            <w:tcW w:w="0" w:type="auto"/>
            <w:vAlign w:val="center"/>
            <w:hideMark/>
          </w:tcPr>
          <w:p w14:paraId="1AD1305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Training</w:t>
            </w:r>
          </w:p>
        </w:tc>
        <w:tc>
          <w:tcPr>
            <w:tcW w:w="0" w:type="auto"/>
            <w:vAlign w:val="center"/>
            <w:hideMark/>
          </w:tcPr>
          <w:p w14:paraId="6638B93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60,000</w:t>
            </w:r>
          </w:p>
        </w:tc>
        <w:tc>
          <w:tcPr>
            <w:tcW w:w="0" w:type="auto"/>
            <w:vAlign w:val="center"/>
            <w:hideMark/>
          </w:tcPr>
          <w:p w14:paraId="29259E7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52,800</w:t>
            </w:r>
          </w:p>
        </w:tc>
        <w:tc>
          <w:tcPr>
            <w:tcW w:w="0" w:type="auto"/>
            <w:vAlign w:val="center"/>
            <w:hideMark/>
          </w:tcPr>
          <w:p w14:paraId="233CF2E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7,200</w:t>
            </w:r>
          </w:p>
        </w:tc>
        <w:tc>
          <w:tcPr>
            <w:tcW w:w="0" w:type="auto"/>
            <w:vAlign w:val="center"/>
            <w:hideMark/>
          </w:tcPr>
          <w:p w14:paraId="743F602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w:t>
            </w:r>
          </w:p>
        </w:tc>
        <w:tc>
          <w:tcPr>
            <w:tcW w:w="0" w:type="auto"/>
            <w:vAlign w:val="center"/>
            <w:hideMark/>
          </w:tcPr>
          <w:p w14:paraId="3E59C3D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96</w:t>
            </w:r>
          </w:p>
        </w:tc>
      </w:tr>
      <w:tr w:rsidR="00B84BA6" w:rsidRPr="00B84BA6" w14:paraId="23FA2758" w14:textId="77777777" w:rsidTr="006A6D29">
        <w:trPr>
          <w:tblCellSpacing w:w="15" w:type="dxa"/>
        </w:trPr>
        <w:tc>
          <w:tcPr>
            <w:tcW w:w="0" w:type="auto"/>
            <w:vAlign w:val="center"/>
            <w:hideMark/>
          </w:tcPr>
          <w:p w14:paraId="0570000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Validation</w:t>
            </w:r>
          </w:p>
        </w:tc>
        <w:tc>
          <w:tcPr>
            <w:tcW w:w="0" w:type="auto"/>
            <w:vAlign w:val="center"/>
            <w:hideMark/>
          </w:tcPr>
          <w:p w14:paraId="34BCEB3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15,000</w:t>
            </w:r>
          </w:p>
        </w:tc>
        <w:tc>
          <w:tcPr>
            <w:tcW w:w="0" w:type="auto"/>
            <w:vAlign w:val="center"/>
            <w:hideMark/>
          </w:tcPr>
          <w:p w14:paraId="4E98C0C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13,200</w:t>
            </w:r>
          </w:p>
        </w:tc>
        <w:tc>
          <w:tcPr>
            <w:tcW w:w="0" w:type="auto"/>
            <w:vAlign w:val="center"/>
            <w:hideMark/>
          </w:tcPr>
          <w:p w14:paraId="5528485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1,800</w:t>
            </w:r>
          </w:p>
        </w:tc>
        <w:tc>
          <w:tcPr>
            <w:tcW w:w="0" w:type="auto"/>
            <w:vAlign w:val="center"/>
            <w:hideMark/>
          </w:tcPr>
          <w:p w14:paraId="056B23D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300</w:t>
            </w:r>
          </w:p>
        </w:tc>
        <w:tc>
          <w:tcPr>
            <w:tcW w:w="0" w:type="auto"/>
            <w:vAlign w:val="center"/>
            <w:hideMark/>
          </w:tcPr>
          <w:p w14:paraId="7A4AD5D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24</w:t>
            </w:r>
          </w:p>
        </w:tc>
      </w:tr>
      <w:tr w:rsidR="00B84BA6" w:rsidRPr="00B84BA6" w14:paraId="6F553A27" w14:textId="77777777" w:rsidTr="006A6D29">
        <w:trPr>
          <w:tblCellSpacing w:w="15" w:type="dxa"/>
        </w:trPr>
        <w:tc>
          <w:tcPr>
            <w:tcW w:w="0" w:type="auto"/>
            <w:vAlign w:val="center"/>
            <w:hideMark/>
          </w:tcPr>
          <w:p w14:paraId="4EC4223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Final Test</w:t>
            </w:r>
          </w:p>
        </w:tc>
        <w:tc>
          <w:tcPr>
            <w:tcW w:w="0" w:type="auto"/>
            <w:vAlign w:val="center"/>
            <w:hideMark/>
          </w:tcPr>
          <w:p w14:paraId="5561DAF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15,000</w:t>
            </w:r>
          </w:p>
        </w:tc>
        <w:tc>
          <w:tcPr>
            <w:tcW w:w="0" w:type="auto"/>
            <w:vAlign w:val="center"/>
            <w:hideMark/>
          </w:tcPr>
          <w:p w14:paraId="2619418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13,200</w:t>
            </w:r>
          </w:p>
        </w:tc>
        <w:tc>
          <w:tcPr>
            <w:tcW w:w="0" w:type="auto"/>
            <w:vAlign w:val="center"/>
            <w:hideMark/>
          </w:tcPr>
          <w:p w14:paraId="31F3495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1,800</w:t>
            </w:r>
          </w:p>
        </w:tc>
        <w:tc>
          <w:tcPr>
            <w:tcW w:w="0" w:type="auto"/>
            <w:vAlign w:val="center"/>
            <w:hideMark/>
          </w:tcPr>
          <w:p w14:paraId="5D52112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300</w:t>
            </w:r>
          </w:p>
        </w:tc>
        <w:tc>
          <w:tcPr>
            <w:tcW w:w="0" w:type="auto"/>
            <w:vAlign w:val="center"/>
            <w:hideMark/>
          </w:tcPr>
          <w:p w14:paraId="306A0BD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24</w:t>
            </w:r>
          </w:p>
        </w:tc>
      </w:tr>
      <w:tr w:rsidR="00B84BA6" w:rsidRPr="00B84BA6" w14:paraId="3AD2C2F7" w14:textId="77777777" w:rsidTr="006A6D29">
        <w:trPr>
          <w:tblCellSpacing w:w="15" w:type="dxa"/>
        </w:trPr>
        <w:tc>
          <w:tcPr>
            <w:tcW w:w="0" w:type="auto"/>
            <w:vAlign w:val="center"/>
            <w:hideMark/>
          </w:tcPr>
          <w:p w14:paraId="33A4DE7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Independent Evaluation</w:t>
            </w:r>
          </w:p>
        </w:tc>
        <w:tc>
          <w:tcPr>
            <w:tcW w:w="0" w:type="auto"/>
            <w:vAlign w:val="center"/>
            <w:hideMark/>
          </w:tcPr>
          <w:p w14:paraId="56F704B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10,000</w:t>
            </w:r>
          </w:p>
        </w:tc>
        <w:tc>
          <w:tcPr>
            <w:tcW w:w="0" w:type="auto"/>
            <w:vAlign w:val="center"/>
            <w:hideMark/>
          </w:tcPr>
          <w:p w14:paraId="5D7DEFD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8,800</w:t>
            </w:r>
          </w:p>
        </w:tc>
        <w:tc>
          <w:tcPr>
            <w:tcW w:w="0" w:type="auto"/>
            <w:vAlign w:val="center"/>
            <w:hideMark/>
          </w:tcPr>
          <w:p w14:paraId="4367373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w:t>
            </w:r>
          </w:p>
        </w:tc>
        <w:tc>
          <w:tcPr>
            <w:tcW w:w="0" w:type="auto"/>
            <w:vAlign w:val="center"/>
            <w:hideMark/>
          </w:tcPr>
          <w:p w14:paraId="69BE1B9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w:t>
            </w:r>
          </w:p>
        </w:tc>
        <w:tc>
          <w:tcPr>
            <w:tcW w:w="0" w:type="auto"/>
            <w:vAlign w:val="center"/>
            <w:hideMark/>
          </w:tcPr>
          <w:p w14:paraId="3D3524D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16</w:t>
            </w:r>
          </w:p>
        </w:tc>
      </w:tr>
      <w:tr w:rsidR="00B84BA6" w:rsidRPr="00B84BA6" w14:paraId="3D14A8D7" w14:textId="77777777" w:rsidTr="006A6D29">
        <w:trPr>
          <w:tblCellSpacing w:w="15" w:type="dxa"/>
        </w:trPr>
        <w:tc>
          <w:tcPr>
            <w:tcW w:w="0" w:type="auto"/>
            <w:vAlign w:val="center"/>
            <w:hideMark/>
          </w:tcPr>
          <w:p w14:paraId="428E516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Total</w:t>
            </w:r>
          </w:p>
        </w:tc>
        <w:tc>
          <w:tcPr>
            <w:tcW w:w="0" w:type="auto"/>
            <w:vAlign w:val="center"/>
            <w:hideMark/>
          </w:tcPr>
          <w:p w14:paraId="68D6985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100,000</w:t>
            </w:r>
          </w:p>
        </w:tc>
        <w:tc>
          <w:tcPr>
            <w:tcW w:w="0" w:type="auto"/>
            <w:vAlign w:val="center"/>
            <w:hideMark/>
          </w:tcPr>
          <w:p w14:paraId="0B9E2D7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88,000</w:t>
            </w:r>
          </w:p>
        </w:tc>
        <w:tc>
          <w:tcPr>
            <w:tcW w:w="0" w:type="auto"/>
            <w:vAlign w:val="center"/>
            <w:hideMark/>
          </w:tcPr>
          <w:p w14:paraId="4E4350D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12,000</w:t>
            </w:r>
          </w:p>
        </w:tc>
        <w:tc>
          <w:tcPr>
            <w:tcW w:w="0" w:type="auto"/>
            <w:vAlign w:val="center"/>
            <w:hideMark/>
          </w:tcPr>
          <w:p w14:paraId="07808EA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2,000</w:t>
            </w:r>
          </w:p>
        </w:tc>
        <w:tc>
          <w:tcPr>
            <w:tcW w:w="0" w:type="auto"/>
            <w:vAlign w:val="center"/>
            <w:hideMark/>
          </w:tcPr>
          <w:p w14:paraId="69ECD0D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160</w:t>
            </w:r>
          </w:p>
        </w:tc>
      </w:tr>
    </w:tbl>
    <w:p w14:paraId="78068109" w14:textId="77777777" w:rsidR="006A6D29" w:rsidRDefault="006A6D29" w:rsidP="00B84BA6">
      <w:pPr>
        <w:spacing w:line="360" w:lineRule="auto"/>
        <w:jc w:val="both"/>
        <w:rPr>
          <w:rFonts w:ascii="Times New Roman" w:hAnsi="Times New Roman" w:cs="Times New Roman"/>
          <w:sz w:val="24"/>
          <w:szCs w:val="24"/>
          <w:lang w:val="en-ZW"/>
        </w:rPr>
      </w:pPr>
    </w:p>
    <w:p w14:paraId="5C9E06B0" w14:textId="043B750F"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Wallets and agents were isolated between the partitions. This prevented the same wallet or agent identities from appearing across training and evaluation populations.</w:t>
      </w:r>
    </w:p>
    <w:p w14:paraId="35736BD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Stage 13 feature-generation process produced exactly 30 numerical behavioural features for each observation. The complete feature matrix therefore had dimensions:</w:t>
      </w:r>
    </w:p>
    <w:p w14:paraId="27FC47F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X=(100000,</w:t>
      </w:r>
      <w:proofErr w:type="gramStart"/>
      <w:r w:rsidRPr="00B84BA6">
        <w:rPr>
          <w:rFonts w:ascii="Times New Roman" w:hAnsi="Times New Roman" w:cs="Times New Roman"/>
          <w:sz w:val="24"/>
          <w:szCs w:val="24"/>
          <w:lang w:val="en-ZW"/>
        </w:rPr>
        <w:t>30)X</w:t>
      </w:r>
      <w:proofErr w:type="gramEnd"/>
      <w:r w:rsidRPr="00B84BA6">
        <w:rPr>
          <w:rFonts w:ascii="Times New Roman" w:hAnsi="Times New Roman" w:cs="Times New Roman"/>
          <w:sz w:val="24"/>
          <w:szCs w:val="24"/>
          <w:lang w:val="en-ZW"/>
        </w:rPr>
        <w:t xml:space="preserve">=(100000,30) </w:t>
      </w:r>
    </w:p>
    <w:p w14:paraId="1462493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partition matrices were:</w:t>
      </w:r>
    </w:p>
    <w:p w14:paraId="199FA570" w14:textId="77777777" w:rsidR="00B84BA6" w:rsidRPr="00B84BA6" w:rsidRDefault="00B84BA6" w:rsidP="00B84BA6">
      <w:pPr>
        <w:spacing w:line="360" w:lineRule="auto"/>
        <w:jc w:val="both"/>
        <w:rPr>
          <w:rFonts w:ascii="Times New Roman" w:hAnsi="Times New Roman" w:cs="Times New Roman"/>
          <w:sz w:val="24"/>
          <w:szCs w:val="24"/>
          <w:lang w:val="en-ZW"/>
        </w:rPr>
      </w:pPr>
      <w:proofErr w:type="spellStart"/>
      <w:r w:rsidRPr="00B84BA6">
        <w:rPr>
          <w:rFonts w:ascii="Times New Roman" w:hAnsi="Times New Roman" w:cs="Times New Roman"/>
          <w:sz w:val="24"/>
          <w:szCs w:val="24"/>
          <w:lang w:val="en-ZW"/>
        </w:rPr>
        <w:lastRenderedPageBreak/>
        <w:t>Xtrain</w:t>
      </w:r>
      <w:proofErr w:type="spellEnd"/>
      <w:r w:rsidRPr="00B84BA6">
        <w:rPr>
          <w:rFonts w:ascii="Times New Roman" w:hAnsi="Times New Roman" w:cs="Times New Roman"/>
          <w:sz w:val="24"/>
          <w:szCs w:val="24"/>
          <w:lang w:val="en-ZW"/>
        </w:rPr>
        <w:t>=(60000,</w:t>
      </w:r>
      <w:proofErr w:type="gramStart"/>
      <w:r w:rsidRPr="00B84BA6">
        <w:rPr>
          <w:rFonts w:ascii="Times New Roman" w:hAnsi="Times New Roman" w:cs="Times New Roman"/>
          <w:sz w:val="24"/>
          <w:szCs w:val="24"/>
          <w:lang w:val="en-ZW"/>
        </w:rPr>
        <w:t>30)X</w:t>
      </w:r>
      <w:proofErr w:type="gramEnd"/>
      <w:r w:rsidRPr="00B84BA6">
        <w:rPr>
          <w:rFonts w:ascii="Times New Roman" w:hAnsi="Times New Roman" w:cs="Times New Roman"/>
          <w:sz w:val="24"/>
          <w:szCs w:val="24"/>
          <w:lang w:val="en-ZW"/>
        </w:rPr>
        <w:t xml:space="preserve">_{train}=(60000,30) </w:t>
      </w:r>
      <w:proofErr w:type="spellStart"/>
      <w:r w:rsidRPr="00B84BA6">
        <w:rPr>
          <w:rFonts w:ascii="Times New Roman" w:hAnsi="Times New Roman" w:cs="Times New Roman"/>
          <w:sz w:val="24"/>
          <w:szCs w:val="24"/>
          <w:lang w:val="en-ZW"/>
        </w:rPr>
        <w:t>Xvalidation</w:t>
      </w:r>
      <w:proofErr w:type="spellEnd"/>
      <w:r w:rsidRPr="00B84BA6">
        <w:rPr>
          <w:rFonts w:ascii="Times New Roman" w:hAnsi="Times New Roman" w:cs="Times New Roman"/>
          <w:sz w:val="24"/>
          <w:szCs w:val="24"/>
          <w:lang w:val="en-ZW"/>
        </w:rPr>
        <w:t xml:space="preserve">=(15000,30)X_{validation}=(15000,30) </w:t>
      </w:r>
      <w:proofErr w:type="spellStart"/>
      <w:r w:rsidRPr="00B84BA6">
        <w:rPr>
          <w:rFonts w:ascii="Times New Roman" w:hAnsi="Times New Roman" w:cs="Times New Roman"/>
          <w:sz w:val="24"/>
          <w:szCs w:val="24"/>
          <w:lang w:val="en-ZW"/>
        </w:rPr>
        <w:t>Xtest</w:t>
      </w:r>
      <w:proofErr w:type="spellEnd"/>
      <w:r w:rsidRPr="00B84BA6">
        <w:rPr>
          <w:rFonts w:ascii="Times New Roman" w:hAnsi="Times New Roman" w:cs="Times New Roman"/>
          <w:sz w:val="24"/>
          <w:szCs w:val="24"/>
          <w:lang w:val="en-ZW"/>
        </w:rPr>
        <w:t xml:space="preserve">=(15000,30)X_{test}=(15000,30) </w:t>
      </w:r>
      <w:proofErr w:type="spellStart"/>
      <w:r w:rsidRPr="00B84BA6">
        <w:rPr>
          <w:rFonts w:ascii="Times New Roman" w:hAnsi="Times New Roman" w:cs="Times New Roman"/>
          <w:sz w:val="24"/>
          <w:szCs w:val="24"/>
          <w:lang w:val="en-ZW"/>
        </w:rPr>
        <w:t>Xindependent</w:t>
      </w:r>
      <w:proofErr w:type="spellEnd"/>
      <w:r w:rsidRPr="00B84BA6">
        <w:rPr>
          <w:rFonts w:ascii="Times New Roman" w:hAnsi="Times New Roman" w:cs="Times New Roman"/>
          <w:sz w:val="24"/>
          <w:szCs w:val="24"/>
          <w:lang w:val="en-ZW"/>
        </w:rPr>
        <w:t xml:space="preserve">=(10000,30)X_{independent}=(10000,30) </w:t>
      </w:r>
    </w:p>
    <w:p w14:paraId="1C9A871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Validation confirmed that the matrices contained no missing or infinite numerical values. Current-transaction leakage, future-transaction leakage, equal-timestamp ordering, partition isolation, ground-truth leakage, application-risk leakage and identifier exclusion were also checked successfully.</w:t>
      </w:r>
    </w:p>
    <w:p w14:paraId="6F3D492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This was particularly important because AML monitoring is temporal in nature. A prediction should be based on information that would have been available when the transaction occurred rather than on future activity [6]. </w:t>
      </w:r>
      <w:proofErr w:type="spellStart"/>
      <w:r w:rsidRPr="00B84BA6">
        <w:rPr>
          <w:rFonts w:ascii="Times New Roman" w:hAnsi="Times New Roman" w:cs="Times New Roman"/>
          <w:sz w:val="24"/>
          <w:szCs w:val="24"/>
          <w:lang w:val="en-ZW"/>
        </w:rPr>
        <w:t>Tertychnyi</w:t>
      </w:r>
      <w:proofErr w:type="spellEnd"/>
      <w:r w:rsidRPr="00B84BA6">
        <w:rPr>
          <w:rFonts w:ascii="Times New Roman" w:hAnsi="Times New Roman" w:cs="Times New Roman"/>
          <w:sz w:val="24"/>
          <w:szCs w:val="24"/>
          <w:lang w:val="en-ZW"/>
        </w:rPr>
        <w:t xml:space="preserve"> et al. similarly demonstrated the importance of time-aware monitoring and timely AML alerts [6]. </w:t>
      </w:r>
    </w:p>
    <w:p w14:paraId="33DB4B4C" w14:textId="77777777" w:rsidR="009631C0" w:rsidRDefault="009631C0" w:rsidP="00B84BA6">
      <w:pPr>
        <w:spacing w:line="360" w:lineRule="auto"/>
        <w:jc w:val="both"/>
        <w:rPr>
          <w:rFonts w:ascii="Times New Roman" w:hAnsi="Times New Roman" w:cs="Times New Roman"/>
          <w:b/>
          <w:bCs/>
          <w:sz w:val="24"/>
          <w:szCs w:val="24"/>
          <w:lang w:val="en-ZW"/>
        </w:rPr>
      </w:pPr>
    </w:p>
    <w:p w14:paraId="1D2D6306" w14:textId="62961CCA"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4.3 Candidate Model Evaluation Results</w:t>
      </w:r>
    </w:p>
    <w:p w14:paraId="713C93A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Three supervised machine-learning algorithms were evaluated before selection of the final model: Logistic Regression, Random Forest and Gradient Boosting.</w:t>
      </w:r>
    </w:p>
    <w:p w14:paraId="3BF9498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All three models received the same frozen 30-feature representation and were trained using the same development population. This allowed differences in validation performance to be attributed primarily to the modelling approaches rather than to different feature sets.</w:t>
      </w:r>
    </w:p>
    <w:p w14:paraId="6586B48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Table 4.3 presents the validation Macro F1 results.</w:t>
      </w:r>
    </w:p>
    <w:p w14:paraId="5E6B8437" w14:textId="77777777" w:rsidR="009631C0" w:rsidRDefault="009631C0" w:rsidP="00B84BA6">
      <w:pPr>
        <w:spacing w:line="360" w:lineRule="auto"/>
        <w:jc w:val="both"/>
        <w:rPr>
          <w:rFonts w:ascii="Times New Roman" w:hAnsi="Times New Roman" w:cs="Times New Roman"/>
          <w:b/>
          <w:bCs/>
          <w:sz w:val="24"/>
          <w:szCs w:val="24"/>
          <w:lang w:val="en-ZW"/>
        </w:rPr>
      </w:pPr>
    </w:p>
    <w:p w14:paraId="7BC996BB" w14:textId="24940AB5"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4.3: Candidate Model Validation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9"/>
        <w:gridCol w:w="2242"/>
      </w:tblGrid>
      <w:tr w:rsidR="00B84BA6" w:rsidRPr="00B84BA6" w14:paraId="40103D84" w14:textId="77777777" w:rsidTr="009631C0">
        <w:trPr>
          <w:tblHeader/>
          <w:tblCellSpacing w:w="15" w:type="dxa"/>
        </w:trPr>
        <w:tc>
          <w:tcPr>
            <w:tcW w:w="0" w:type="auto"/>
            <w:vAlign w:val="center"/>
            <w:hideMark/>
          </w:tcPr>
          <w:p w14:paraId="7FA87A6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Model</w:t>
            </w:r>
          </w:p>
        </w:tc>
        <w:tc>
          <w:tcPr>
            <w:tcW w:w="0" w:type="auto"/>
            <w:vAlign w:val="center"/>
            <w:hideMark/>
          </w:tcPr>
          <w:p w14:paraId="7D6C554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Validation Macro F1</w:t>
            </w:r>
          </w:p>
        </w:tc>
      </w:tr>
      <w:tr w:rsidR="00B84BA6" w:rsidRPr="00B84BA6" w14:paraId="34779508" w14:textId="77777777" w:rsidTr="009631C0">
        <w:trPr>
          <w:tblCellSpacing w:w="15" w:type="dxa"/>
        </w:trPr>
        <w:tc>
          <w:tcPr>
            <w:tcW w:w="0" w:type="auto"/>
            <w:vAlign w:val="center"/>
            <w:hideMark/>
          </w:tcPr>
          <w:p w14:paraId="4A14B7C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Logistic Regression</w:t>
            </w:r>
          </w:p>
        </w:tc>
        <w:tc>
          <w:tcPr>
            <w:tcW w:w="0" w:type="auto"/>
            <w:vAlign w:val="center"/>
            <w:hideMark/>
          </w:tcPr>
          <w:p w14:paraId="17DA804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0.6391</w:t>
            </w:r>
          </w:p>
        </w:tc>
      </w:tr>
      <w:tr w:rsidR="00B84BA6" w:rsidRPr="00B84BA6" w14:paraId="430C64B4" w14:textId="77777777" w:rsidTr="009631C0">
        <w:trPr>
          <w:tblCellSpacing w:w="15" w:type="dxa"/>
        </w:trPr>
        <w:tc>
          <w:tcPr>
            <w:tcW w:w="0" w:type="auto"/>
            <w:vAlign w:val="center"/>
            <w:hideMark/>
          </w:tcPr>
          <w:p w14:paraId="6A9D360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Random Forest</w:t>
            </w:r>
          </w:p>
        </w:tc>
        <w:tc>
          <w:tcPr>
            <w:tcW w:w="0" w:type="auto"/>
            <w:vAlign w:val="center"/>
            <w:hideMark/>
          </w:tcPr>
          <w:p w14:paraId="2C2FDBB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0.7345</w:t>
            </w:r>
          </w:p>
        </w:tc>
      </w:tr>
      <w:tr w:rsidR="00B84BA6" w:rsidRPr="00B84BA6" w14:paraId="79A09571" w14:textId="77777777" w:rsidTr="009631C0">
        <w:trPr>
          <w:tblCellSpacing w:w="15" w:type="dxa"/>
        </w:trPr>
        <w:tc>
          <w:tcPr>
            <w:tcW w:w="0" w:type="auto"/>
            <w:vAlign w:val="center"/>
            <w:hideMark/>
          </w:tcPr>
          <w:p w14:paraId="4D801ED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Gradient Boosting</w:t>
            </w:r>
          </w:p>
        </w:tc>
        <w:tc>
          <w:tcPr>
            <w:tcW w:w="0" w:type="auto"/>
            <w:vAlign w:val="center"/>
            <w:hideMark/>
          </w:tcPr>
          <w:p w14:paraId="472BE29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0.7363</w:t>
            </w:r>
          </w:p>
        </w:tc>
      </w:tr>
    </w:tbl>
    <w:p w14:paraId="2092010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Logistic Regression produced the lowest Macro F1 of 0.6391. Random Forest increased this value to 0.7345, while Gradient Boosting produced the highest initial validation Macro F1 of 0.7363.</w:t>
      </w:r>
    </w:p>
    <w:p w14:paraId="1C3ED98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difference between Random Forest and Gradient Boosting was relatively small. The results therefore did not demonstrate overwhelming superiority of Gradient Boosting. However, Gradient Boosting produced the strongest result among the three candidates under the controlled validation procedure and was consequently selected for threshold evaluation.</w:t>
      </w:r>
    </w:p>
    <w:p w14:paraId="322C551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stronger performance of the two tree-based ensemble models compared with Logistic Regression suggested that relationships among the behavioural features were not adequately represented by the linear baseline. Suspicious patterns could depend on combinations of transaction frequency, historical values, counterparties and agent activity rather than on independent linear effects.</w:t>
      </w:r>
    </w:p>
    <w:p w14:paraId="69C9BBB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Machine-learning AML research similarly demonstrates that suspicious-behaviour detection involves complex behavioural information and that no single algorithm can be assumed to be universally appropriate [5]. </w:t>
      </w:r>
    </w:p>
    <w:p w14:paraId="12C7E155" w14:textId="77777777" w:rsidR="009631C0" w:rsidRDefault="009631C0" w:rsidP="00B84BA6">
      <w:pPr>
        <w:spacing w:line="360" w:lineRule="auto"/>
        <w:jc w:val="both"/>
        <w:rPr>
          <w:rFonts w:ascii="Times New Roman" w:hAnsi="Times New Roman" w:cs="Times New Roman"/>
          <w:b/>
          <w:bCs/>
          <w:sz w:val="24"/>
          <w:szCs w:val="24"/>
          <w:lang w:val="en-ZW"/>
        </w:rPr>
      </w:pPr>
    </w:p>
    <w:p w14:paraId="7B32F2DB" w14:textId="5DBC103D"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4.4 Decision-Threshold Selection</w:t>
      </w:r>
    </w:p>
    <w:p w14:paraId="6C9BAF2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Gradient Boosting classifier generated a probability for the suspicious-pattern class. A decision threshold was therefore required to convert this probability into a binary normal or suspicious-pattern classification.</w:t>
      </w:r>
    </w:p>
    <w:p w14:paraId="2B9C0F5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Threshold selection was conducted using the validation partition rather than the final-test or independent-evaluation populations.</w:t>
      </w:r>
    </w:p>
    <w:p w14:paraId="1D04524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 threshold of 0.35 was selected. At this operating point, validation Macro F1 increased to:</w:t>
      </w:r>
    </w:p>
    <w:p w14:paraId="49D5E61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Macro F1=0.7513Macro\ F1=0.7513 </w:t>
      </w:r>
    </w:p>
    <w:p w14:paraId="2DE9720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resulting classification rule was:</w:t>
      </w:r>
    </w:p>
    <w:p w14:paraId="6FC73BD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y^={</w:t>
      </w:r>
      <w:proofErr w:type="gramStart"/>
      <w:r w:rsidRPr="00B84BA6">
        <w:rPr>
          <w:rFonts w:ascii="Times New Roman" w:hAnsi="Times New Roman" w:cs="Times New Roman"/>
          <w:sz w:val="24"/>
          <w:szCs w:val="24"/>
          <w:lang w:val="en-ZW"/>
        </w:rPr>
        <w:t>1,P</w:t>
      </w:r>
      <w:proofErr w:type="gramEnd"/>
      <w:r w:rsidRPr="00B84BA6">
        <w:rPr>
          <w:rFonts w:ascii="Times New Roman" w:hAnsi="Times New Roman" w:cs="Times New Roman"/>
          <w:sz w:val="24"/>
          <w:szCs w:val="24"/>
          <w:lang w:val="en-ZW"/>
        </w:rPr>
        <w:t>(y=1</w:t>
      </w:r>
      <w:r w:rsidRPr="00B84BA6">
        <w:rPr>
          <w:rFonts w:ascii="Cambria Math" w:hAnsi="Cambria Math" w:cs="Cambria Math"/>
          <w:sz w:val="24"/>
          <w:szCs w:val="24"/>
          <w:lang w:val="en-ZW"/>
        </w:rPr>
        <w:t>∣</w:t>
      </w:r>
      <w:r w:rsidRPr="00B84BA6">
        <w:rPr>
          <w:rFonts w:ascii="Times New Roman" w:hAnsi="Times New Roman" w:cs="Times New Roman"/>
          <w:sz w:val="24"/>
          <w:szCs w:val="24"/>
          <w:lang w:val="en-ZW"/>
        </w:rPr>
        <w:t>X)≥0.350,P(y=1</w:t>
      </w:r>
      <w:r w:rsidRPr="00B84BA6">
        <w:rPr>
          <w:rFonts w:ascii="Cambria Math" w:hAnsi="Cambria Math" w:cs="Cambria Math"/>
          <w:sz w:val="24"/>
          <w:szCs w:val="24"/>
          <w:lang w:val="en-ZW"/>
        </w:rPr>
        <w:t>∣</w:t>
      </w:r>
      <w:r w:rsidRPr="00B84BA6">
        <w:rPr>
          <w:rFonts w:ascii="Times New Roman" w:hAnsi="Times New Roman" w:cs="Times New Roman"/>
          <w:sz w:val="24"/>
          <w:szCs w:val="24"/>
          <w:lang w:val="en-ZW"/>
        </w:rPr>
        <w:t xml:space="preserve">X)&lt;0.35\hat{y}= \begin{cases} 1,&amp;P(y=1|X)\geq0.35\\ 0,&amp;P(y=1|X)&lt;0.35 \end{cases} </w:t>
      </w:r>
    </w:p>
    <w:p w14:paraId="494ECE9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where Class 1 represented a suspicious pattern and Class 0 represented normal behaviour.</w:t>
      </w:r>
    </w:p>
    <w:p w14:paraId="6F59497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Following threshold selection, the model and threshold were frozen. The final-test and independent-evaluation populations were subsequently used for evaluation rather than repeated threshold optimisation.</w:t>
      </w:r>
    </w:p>
    <w:p w14:paraId="4F63E0F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0.35 value was an analytical model operating threshold. It was not a regulatory threshold and did not represent a 35% probability that money laundering had occurred. The classifier identified suspicious behavioural patterns requiring potential further investigation.</w:t>
      </w:r>
    </w:p>
    <w:p w14:paraId="394AFA0C" w14:textId="77777777" w:rsidR="006D76B1" w:rsidRDefault="006D76B1" w:rsidP="00B84BA6">
      <w:pPr>
        <w:spacing w:line="360" w:lineRule="auto"/>
        <w:jc w:val="both"/>
        <w:rPr>
          <w:rFonts w:ascii="Times New Roman" w:hAnsi="Times New Roman" w:cs="Times New Roman"/>
          <w:b/>
          <w:bCs/>
          <w:sz w:val="24"/>
          <w:szCs w:val="24"/>
          <w:lang w:val="en-ZW"/>
        </w:rPr>
      </w:pPr>
    </w:p>
    <w:p w14:paraId="45BA97C8" w14:textId="462CA1E0"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4.5 Final-Test Performance</w:t>
      </w:r>
    </w:p>
    <w:p w14:paraId="225DC00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frozen classifier was evaluated on the 15,000-transaction final-test population, consisting of 13,200 normal transactions and 1,800 suspicious-pattern transactions.</w:t>
      </w:r>
    </w:p>
    <w:p w14:paraId="7894ED08" w14:textId="77777777" w:rsidR="006D76B1" w:rsidRDefault="006D76B1" w:rsidP="00B84BA6">
      <w:pPr>
        <w:spacing w:line="360" w:lineRule="auto"/>
        <w:jc w:val="both"/>
        <w:rPr>
          <w:rFonts w:ascii="Times New Roman" w:hAnsi="Times New Roman" w:cs="Times New Roman"/>
          <w:b/>
          <w:bCs/>
          <w:sz w:val="24"/>
          <w:szCs w:val="24"/>
          <w:lang w:val="en-ZW"/>
        </w:rPr>
      </w:pPr>
    </w:p>
    <w:p w14:paraId="019BB2DF" w14:textId="0C6778E0"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4.4 presents the official final-test results.</w:t>
      </w:r>
    </w:p>
    <w:p w14:paraId="4D29B39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4.4: Frozen Model Final-Test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9"/>
        <w:gridCol w:w="755"/>
      </w:tblGrid>
      <w:tr w:rsidR="00B84BA6" w:rsidRPr="00B84BA6" w14:paraId="013331B0" w14:textId="77777777" w:rsidTr="006D76B1">
        <w:trPr>
          <w:tblHeader/>
          <w:tblCellSpacing w:w="15" w:type="dxa"/>
        </w:trPr>
        <w:tc>
          <w:tcPr>
            <w:tcW w:w="0" w:type="auto"/>
            <w:vAlign w:val="center"/>
            <w:hideMark/>
          </w:tcPr>
          <w:p w14:paraId="53DB392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Metric</w:t>
            </w:r>
          </w:p>
        </w:tc>
        <w:tc>
          <w:tcPr>
            <w:tcW w:w="0" w:type="auto"/>
            <w:vAlign w:val="center"/>
            <w:hideMark/>
          </w:tcPr>
          <w:p w14:paraId="1C2CE3F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Result</w:t>
            </w:r>
          </w:p>
        </w:tc>
      </w:tr>
      <w:tr w:rsidR="00B84BA6" w:rsidRPr="00B84BA6" w14:paraId="3F418451" w14:textId="77777777" w:rsidTr="006D76B1">
        <w:trPr>
          <w:tblCellSpacing w:w="15" w:type="dxa"/>
        </w:trPr>
        <w:tc>
          <w:tcPr>
            <w:tcW w:w="0" w:type="auto"/>
            <w:vAlign w:val="center"/>
            <w:hideMark/>
          </w:tcPr>
          <w:p w14:paraId="2405D91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Accuracy</w:t>
            </w:r>
          </w:p>
        </w:tc>
        <w:tc>
          <w:tcPr>
            <w:tcW w:w="0" w:type="auto"/>
            <w:vAlign w:val="center"/>
            <w:hideMark/>
          </w:tcPr>
          <w:p w14:paraId="0F6560D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0.8984</w:t>
            </w:r>
          </w:p>
        </w:tc>
      </w:tr>
      <w:tr w:rsidR="00B84BA6" w:rsidRPr="00B84BA6" w14:paraId="7CC1997E" w14:textId="77777777" w:rsidTr="006D76B1">
        <w:trPr>
          <w:tblCellSpacing w:w="15" w:type="dxa"/>
        </w:trPr>
        <w:tc>
          <w:tcPr>
            <w:tcW w:w="0" w:type="auto"/>
            <w:vAlign w:val="center"/>
            <w:hideMark/>
          </w:tcPr>
          <w:p w14:paraId="4F7DF5F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w:t>
            </w:r>
          </w:p>
        </w:tc>
        <w:tc>
          <w:tcPr>
            <w:tcW w:w="0" w:type="auto"/>
            <w:vAlign w:val="center"/>
            <w:hideMark/>
          </w:tcPr>
          <w:p w14:paraId="2E51374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0.7352</w:t>
            </w:r>
          </w:p>
        </w:tc>
      </w:tr>
      <w:tr w:rsidR="00B84BA6" w:rsidRPr="00B84BA6" w14:paraId="5C012AED" w14:textId="77777777" w:rsidTr="006D76B1">
        <w:trPr>
          <w:tblCellSpacing w:w="15" w:type="dxa"/>
        </w:trPr>
        <w:tc>
          <w:tcPr>
            <w:tcW w:w="0" w:type="auto"/>
            <w:vAlign w:val="center"/>
            <w:hideMark/>
          </w:tcPr>
          <w:p w14:paraId="2A2A71A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Macro F1</w:t>
            </w:r>
          </w:p>
        </w:tc>
        <w:tc>
          <w:tcPr>
            <w:tcW w:w="0" w:type="auto"/>
            <w:vAlign w:val="center"/>
            <w:hideMark/>
          </w:tcPr>
          <w:p w14:paraId="39570FA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0.7471</w:t>
            </w:r>
          </w:p>
        </w:tc>
      </w:tr>
      <w:tr w:rsidR="00B84BA6" w:rsidRPr="00B84BA6" w14:paraId="599B2417" w14:textId="77777777" w:rsidTr="006D76B1">
        <w:trPr>
          <w:tblCellSpacing w:w="15" w:type="dxa"/>
        </w:trPr>
        <w:tc>
          <w:tcPr>
            <w:tcW w:w="0" w:type="auto"/>
            <w:vAlign w:val="center"/>
            <w:hideMark/>
          </w:tcPr>
          <w:p w14:paraId="33D8A01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Precision</w:t>
            </w:r>
          </w:p>
        </w:tc>
        <w:tc>
          <w:tcPr>
            <w:tcW w:w="0" w:type="auto"/>
            <w:vAlign w:val="center"/>
            <w:hideMark/>
          </w:tcPr>
          <w:p w14:paraId="18824B9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0.5864</w:t>
            </w:r>
          </w:p>
        </w:tc>
      </w:tr>
      <w:tr w:rsidR="00B84BA6" w:rsidRPr="00B84BA6" w14:paraId="2848CC02" w14:textId="77777777" w:rsidTr="006D76B1">
        <w:trPr>
          <w:tblCellSpacing w:w="15" w:type="dxa"/>
        </w:trPr>
        <w:tc>
          <w:tcPr>
            <w:tcW w:w="0" w:type="auto"/>
            <w:vAlign w:val="center"/>
            <w:hideMark/>
          </w:tcPr>
          <w:p w14:paraId="2FC47BB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w:t>
            </w:r>
          </w:p>
        </w:tc>
        <w:tc>
          <w:tcPr>
            <w:tcW w:w="0" w:type="auto"/>
            <w:vAlign w:val="center"/>
            <w:hideMark/>
          </w:tcPr>
          <w:p w14:paraId="1FCA206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0.5206</w:t>
            </w:r>
          </w:p>
        </w:tc>
      </w:tr>
      <w:tr w:rsidR="00B84BA6" w:rsidRPr="00B84BA6" w14:paraId="2B63A5F6" w14:textId="77777777" w:rsidTr="006D76B1">
        <w:trPr>
          <w:tblCellSpacing w:w="15" w:type="dxa"/>
        </w:trPr>
        <w:tc>
          <w:tcPr>
            <w:tcW w:w="0" w:type="auto"/>
            <w:vAlign w:val="center"/>
            <w:hideMark/>
          </w:tcPr>
          <w:p w14:paraId="0BC726F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F1</w:t>
            </w:r>
          </w:p>
        </w:tc>
        <w:tc>
          <w:tcPr>
            <w:tcW w:w="0" w:type="auto"/>
            <w:vAlign w:val="center"/>
            <w:hideMark/>
          </w:tcPr>
          <w:p w14:paraId="722FB5F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0.5515</w:t>
            </w:r>
          </w:p>
        </w:tc>
      </w:tr>
      <w:tr w:rsidR="00B84BA6" w:rsidRPr="00B84BA6" w14:paraId="048B4D91" w14:textId="77777777" w:rsidTr="006D76B1">
        <w:trPr>
          <w:tblCellSpacing w:w="15" w:type="dxa"/>
        </w:trPr>
        <w:tc>
          <w:tcPr>
            <w:tcW w:w="0" w:type="auto"/>
            <w:vAlign w:val="center"/>
            <w:hideMark/>
          </w:tcPr>
          <w:p w14:paraId="28E285E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Recall</w:t>
            </w:r>
          </w:p>
        </w:tc>
        <w:tc>
          <w:tcPr>
            <w:tcW w:w="0" w:type="auto"/>
            <w:vAlign w:val="center"/>
            <w:hideMark/>
          </w:tcPr>
          <w:p w14:paraId="1537462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0.9498</w:t>
            </w:r>
          </w:p>
        </w:tc>
      </w:tr>
      <w:tr w:rsidR="00B84BA6" w:rsidRPr="00B84BA6" w14:paraId="6CCAE6FE" w14:textId="77777777" w:rsidTr="006D76B1">
        <w:trPr>
          <w:tblCellSpacing w:w="15" w:type="dxa"/>
        </w:trPr>
        <w:tc>
          <w:tcPr>
            <w:tcW w:w="0" w:type="auto"/>
            <w:vAlign w:val="center"/>
            <w:hideMark/>
          </w:tcPr>
          <w:p w14:paraId="6F2B6F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ROC-AUC</w:t>
            </w:r>
          </w:p>
        </w:tc>
        <w:tc>
          <w:tcPr>
            <w:tcW w:w="0" w:type="auto"/>
            <w:vAlign w:val="center"/>
            <w:hideMark/>
          </w:tcPr>
          <w:p w14:paraId="706BA5F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0.8474</w:t>
            </w:r>
          </w:p>
        </w:tc>
      </w:tr>
      <w:tr w:rsidR="00B84BA6" w:rsidRPr="00B84BA6" w14:paraId="2352C051" w14:textId="77777777" w:rsidTr="006D76B1">
        <w:trPr>
          <w:tblCellSpacing w:w="15" w:type="dxa"/>
        </w:trPr>
        <w:tc>
          <w:tcPr>
            <w:tcW w:w="0" w:type="auto"/>
            <w:vAlign w:val="center"/>
            <w:hideMark/>
          </w:tcPr>
          <w:p w14:paraId="3F0C9EA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PR-AUC</w:t>
            </w:r>
          </w:p>
        </w:tc>
        <w:tc>
          <w:tcPr>
            <w:tcW w:w="0" w:type="auto"/>
            <w:vAlign w:val="center"/>
            <w:hideMark/>
          </w:tcPr>
          <w:p w14:paraId="622E3FC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0.5829</w:t>
            </w:r>
          </w:p>
        </w:tc>
      </w:tr>
      <w:tr w:rsidR="00B84BA6" w:rsidRPr="00B84BA6" w14:paraId="48C5A122" w14:textId="77777777" w:rsidTr="006D76B1">
        <w:trPr>
          <w:tblCellSpacing w:w="15" w:type="dxa"/>
        </w:trPr>
        <w:tc>
          <w:tcPr>
            <w:tcW w:w="0" w:type="auto"/>
            <w:vAlign w:val="center"/>
            <w:hideMark/>
          </w:tcPr>
          <w:p w14:paraId="38A8AE4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False-Positive Rate</w:t>
            </w:r>
          </w:p>
        </w:tc>
        <w:tc>
          <w:tcPr>
            <w:tcW w:w="0" w:type="auto"/>
            <w:vAlign w:val="center"/>
            <w:hideMark/>
          </w:tcPr>
          <w:p w14:paraId="3A32C53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0.0465</w:t>
            </w:r>
          </w:p>
        </w:tc>
      </w:tr>
    </w:tbl>
    <w:p w14:paraId="1D98ACE8" w14:textId="77777777" w:rsidR="006D76B1" w:rsidRDefault="006D76B1" w:rsidP="00B84BA6">
      <w:pPr>
        <w:spacing w:line="360" w:lineRule="auto"/>
        <w:jc w:val="both"/>
        <w:rPr>
          <w:rFonts w:ascii="Times New Roman" w:hAnsi="Times New Roman" w:cs="Times New Roman"/>
          <w:sz w:val="24"/>
          <w:szCs w:val="24"/>
          <w:lang w:val="en-ZW"/>
        </w:rPr>
      </w:pPr>
    </w:p>
    <w:p w14:paraId="60C36560" w14:textId="71EC9EE5"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model achieved an overall accuracy of 0.8984, corresponding to 89.84%. However, the dataset contained substantially more normal transactions than suspicious transactions. Overall accuracy therefore needed to be interpreted alongside class-sensitive measures. Class imbalance is a recognised challenge in AML machine-learning research [5]. </w:t>
      </w:r>
    </w:p>
    <w:p w14:paraId="4314ED6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 was 0.7352 and Macro F1 was 0.7471. These measures provided a more balanced view of performance across the two classes.</w:t>
      </w:r>
    </w:p>
    <w:p w14:paraId="14E4D7A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 was 0.5206, meaning that approximately 52.1% of the suspicious-pattern observations in the final-test population were detected. Suspicious precision was 0.5864, indicating that approximately 58.6% of the transactions classified as suspicious were labelled suspicious within the synthetic ground truth.</w:t>
      </w:r>
    </w:p>
    <w:p w14:paraId="2A32A4F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F1 was 0.5515. Normal recall was considerably higher at 0.9498, demonstrating that the classifier was substantially more effective at recognising normal transactions than at identifying all suspicious examples.</w:t>
      </w:r>
    </w:p>
    <w:p w14:paraId="73F0975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These results demonstrate why the reported 89.84% accuracy should not be interpreted in isolation.</w:t>
      </w:r>
    </w:p>
    <w:p w14:paraId="50FE135A" w14:textId="77777777" w:rsidR="006D76B1" w:rsidRDefault="006D76B1" w:rsidP="00B84BA6">
      <w:pPr>
        <w:spacing w:line="360" w:lineRule="auto"/>
        <w:jc w:val="both"/>
        <w:rPr>
          <w:rFonts w:ascii="Times New Roman" w:hAnsi="Times New Roman" w:cs="Times New Roman"/>
          <w:b/>
          <w:bCs/>
          <w:sz w:val="24"/>
          <w:szCs w:val="24"/>
          <w:lang w:val="en-ZW"/>
        </w:rPr>
      </w:pPr>
    </w:p>
    <w:p w14:paraId="6FEBA49F" w14:textId="052E018C"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4.6 Final-Test Confusion Matrix</w:t>
      </w:r>
    </w:p>
    <w:p w14:paraId="3E175FD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confusion matrix provided a direct representation of the correct and incorrect classifications produced by the model.</w:t>
      </w:r>
    </w:p>
    <w:p w14:paraId="34D3EC3C" w14:textId="77777777" w:rsidR="00443611" w:rsidRDefault="00443611" w:rsidP="00B84BA6">
      <w:pPr>
        <w:spacing w:line="360" w:lineRule="auto"/>
        <w:jc w:val="both"/>
        <w:rPr>
          <w:rFonts w:ascii="Times New Roman" w:hAnsi="Times New Roman" w:cs="Times New Roman"/>
          <w:b/>
          <w:bCs/>
          <w:sz w:val="24"/>
          <w:szCs w:val="24"/>
          <w:lang w:val="en-ZW"/>
        </w:rPr>
      </w:pPr>
    </w:p>
    <w:p w14:paraId="21C5CE72" w14:textId="5B32542B"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4.5: Final-Test Confusion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1913"/>
        <w:gridCol w:w="2222"/>
      </w:tblGrid>
      <w:tr w:rsidR="00B84BA6" w:rsidRPr="00B84BA6" w14:paraId="65BF3625" w14:textId="77777777" w:rsidTr="00443611">
        <w:trPr>
          <w:tblHeader/>
          <w:tblCellSpacing w:w="15" w:type="dxa"/>
        </w:trPr>
        <w:tc>
          <w:tcPr>
            <w:tcW w:w="0" w:type="auto"/>
            <w:vAlign w:val="center"/>
            <w:hideMark/>
          </w:tcPr>
          <w:p w14:paraId="3C8DBC7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Actual Class</w:t>
            </w:r>
          </w:p>
        </w:tc>
        <w:tc>
          <w:tcPr>
            <w:tcW w:w="0" w:type="auto"/>
            <w:vAlign w:val="center"/>
            <w:hideMark/>
          </w:tcPr>
          <w:p w14:paraId="2484CF6B"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Normal</w:t>
            </w:r>
          </w:p>
        </w:tc>
        <w:tc>
          <w:tcPr>
            <w:tcW w:w="0" w:type="auto"/>
            <w:vAlign w:val="center"/>
            <w:hideMark/>
          </w:tcPr>
          <w:p w14:paraId="161604B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Suspicious</w:t>
            </w:r>
          </w:p>
        </w:tc>
      </w:tr>
      <w:tr w:rsidR="00B84BA6" w:rsidRPr="00B84BA6" w14:paraId="4CC9429B" w14:textId="77777777" w:rsidTr="00443611">
        <w:trPr>
          <w:tblCellSpacing w:w="15" w:type="dxa"/>
        </w:trPr>
        <w:tc>
          <w:tcPr>
            <w:tcW w:w="0" w:type="auto"/>
            <w:vAlign w:val="center"/>
            <w:hideMark/>
          </w:tcPr>
          <w:p w14:paraId="738D119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w:t>
            </w:r>
          </w:p>
        </w:tc>
        <w:tc>
          <w:tcPr>
            <w:tcW w:w="0" w:type="auto"/>
            <w:vAlign w:val="center"/>
            <w:hideMark/>
          </w:tcPr>
          <w:p w14:paraId="05E8BA2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12,536</w:t>
            </w:r>
          </w:p>
        </w:tc>
        <w:tc>
          <w:tcPr>
            <w:tcW w:w="0" w:type="auto"/>
            <w:vAlign w:val="center"/>
            <w:hideMark/>
          </w:tcPr>
          <w:p w14:paraId="4C39499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664</w:t>
            </w:r>
          </w:p>
        </w:tc>
      </w:tr>
      <w:tr w:rsidR="00B84BA6" w:rsidRPr="00B84BA6" w14:paraId="4D9CF19B" w14:textId="77777777" w:rsidTr="00443611">
        <w:trPr>
          <w:tblCellSpacing w:w="15" w:type="dxa"/>
        </w:trPr>
        <w:tc>
          <w:tcPr>
            <w:tcW w:w="0" w:type="auto"/>
            <w:vAlign w:val="center"/>
            <w:hideMark/>
          </w:tcPr>
          <w:p w14:paraId="600D0DD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w:t>
            </w:r>
          </w:p>
        </w:tc>
        <w:tc>
          <w:tcPr>
            <w:tcW w:w="0" w:type="auto"/>
            <w:vAlign w:val="center"/>
            <w:hideMark/>
          </w:tcPr>
          <w:p w14:paraId="6FD919F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862</w:t>
            </w:r>
          </w:p>
        </w:tc>
        <w:tc>
          <w:tcPr>
            <w:tcW w:w="0" w:type="auto"/>
            <w:vAlign w:val="center"/>
            <w:hideMark/>
          </w:tcPr>
          <w:p w14:paraId="76C70F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938</w:t>
            </w:r>
          </w:p>
        </w:tc>
      </w:tr>
    </w:tbl>
    <w:p w14:paraId="6A85E697" w14:textId="77777777" w:rsidR="00443611" w:rsidRDefault="00443611" w:rsidP="00B84BA6">
      <w:pPr>
        <w:spacing w:line="360" w:lineRule="auto"/>
        <w:jc w:val="both"/>
        <w:rPr>
          <w:rFonts w:ascii="Times New Roman" w:hAnsi="Times New Roman" w:cs="Times New Roman"/>
          <w:sz w:val="24"/>
          <w:szCs w:val="24"/>
          <w:lang w:val="en-ZW"/>
        </w:rPr>
      </w:pPr>
    </w:p>
    <w:p w14:paraId="18EDA832" w14:textId="4EFD67DA"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classifier correctly identified 12,536 normal transactions, representing the true negatives. A further 664 normal transactions were incorrectly classified as suspicious, representing false positives.</w:t>
      </w:r>
    </w:p>
    <w:p w14:paraId="705A345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Among the 1,800 suspicious-pattern transactions, 938 were correctly detected and 862 were classified as normal.</w:t>
      </w:r>
    </w:p>
    <w:p w14:paraId="4F96036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two error categories have different implications for an AML decision-support environment. False positives can increase the investigation workload, while false negatives represent suspicious behavioural examples that are not identified by the classifier.</w:t>
      </w:r>
    </w:p>
    <w:p w14:paraId="490E847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This trade-off reinforces the role of machine learning as a mechanism for supporting and prioritising AML investigation rather than independently establishing whether money laundering occurred. </w:t>
      </w:r>
      <w:proofErr w:type="spellStart"/>
      <w:r w:rsidRPr="00B84BA6">
        <w:rPr>
          <w:rFonts w:ascii="Times New Roman" w:hAnsi="Times New Roman" w:cs="Times New Roman"/>
          <w:sz w:val="24"/>
          <w:szCs w:val="24"/>
          <w:lang w:val="en-ZW"/>
        </w:rPr>
        <w:t>Jullum</w:t>
      </w:r>
      <w:proofErr w:type="spellEnd"/>
      <w:r w:rsidRPr="00B84BA6">
        <w:rPr>
          <w:rFonts w:ascii="Times New Roman" w:hAnsi="Times New Roman" w:cs="Times New Roman"/>
          <w:sz w:val="24"/>
          <w:szCs w:val="24"/>
          <w:lang w:val="en-ZW"/>
        </w:rPr>
        <w:t xml:space="preserve"> et al. similarly developed machine learning for prioritising transactions for manual AML investigation [19]. </w:t>
      </w:r>
    </w:p>
    <w:p w14:paraId="4CFD1D4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4.1 HERE]</w:t>
      </w:r>
    </w:p>
    <w:p w14:paraId="6FC888D5" w14:textId="77777777" w:rsidR="00B6246A" w:rsidRDefault="00B6246A" w:rsidP="00B84BA6">
      <w:pPr>
        <w:spacing w:line="360" w:lineRule="auto"/>
        <w:jc w:val="both"/>
        <w:rPr>
          <w:rFonts w:ascii="Times New Roman" w:hAnsi="Times New Roman" w:cs="Times New Roman"/>
          <w:b/>
          <w:bCs/>
          <w:sz w:val="24"/>
          <w:szCs w:val="24"/>
          <w:lang w:val="en-ZW"/>
        </w:rPr>
      </w:pPr>
    </w:p>
    <w:p w14:paraId="25590848" w14:textId="326535AA"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Figure 4.1: Final-Test Confusion Matrix</w:t>
      </w:r>
    </w:p>
    <w:p w14:paraId="639F83A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4.7 Independent-Evaluation Performance</w:t>
      </w:r>
    </w:p>
    <w:p w14:paraId="798B75A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frozen classifier was subsequently evaluated using the independent 10,000-transaction population. This population contained 8,800 normal transactions and 1,200 suspicious-pattern transactions involving 200 wallets and 16 agents isolated from the model-development populations.</w:t>
      </w:r>
    </w:p>
    <w:p w14:paraId="69FE3D3E" w14:textId="77777777" w:rsidR="00B6246A" w:rsidRDefault="00B6246A" w:rsidP="00B84BA6">
      <w:pPr>
        <w:spacing w:line="360" w:lineRule="auto"/>
        <w:jc w:val="both"/>
        <w:rPr>
          <w:rFonts w:ascii="Times New Roman" w:hAnsi="Times New Roman" w:cs="Times New Roman"/>
          <w:sz w:val="24"/>
          <w:szCs w:val="24"/>
          <w:lang w:val="en-ZW"/>
        </w:rPr>
      </w:pPr>
    </w:p>
    <w:p w14:paraId="762DD139" w14:textId="7B36378E"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Table 4.6 presents the independent-evaluation results.</w:t>
      </w:r>
    </w:p>
    <w:p w14:paraId="56C0693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4.6: Independent-Evaluation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9"/>
        <w:gridCol w:w="755"/>
      </w:tblGrid>
      <w:tr w:rsidR="00B84BA6" w:rsidRPr="00B84BA6" w14:paraId="0E819D4D" w14:textId="77777777" w:rsidTr="00B6246A">
        <w:trPr>
          <w:tblHeader/>
          <w:tblCellSpacing w:w="15" w:type="dxa"/>
        </w:trPr>
        <w:tc>
          <w:tcPr>
            <w:tcW w:w="0" w:type="auto"/>
            <w:vAlign w:val="center"/>
            <w:hideMark/>
          </w:tcPr>
          <w:p w14:paraId="2E9190B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Metric</w:t>
            </w:r>
          </w:p>
        </w:tc>
        <w:tc>
          <w:tcPr>
            <w:tcW w:w="0" w:type="auto"/>
            <w:vAlign w:val="center"/>
            <w:hideMark/>
          </w:tcPr>
          <w:p w14:paraId="216A851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Result</w:t>
            </w:r>
          </w:p>
        </w:tc>
      </w:tr>
      <w:tr w:rsidR="00B84BA6" w:rsidRPr="00B84BA6" w14:paraId="0A9C32A3" w14:textId="77777777" w:rsidTr="00B6246A">
        <w:trPr>
          <w:tblCellSpacing w:w="15" w:type="dxa"/>
        </w:trPr>
        <w:tc>
          <w:tcPr>
            <w:tcW w:w="0" w:type="auto"/>
            <w:vAlign w:val="center"/>
            <w:hideMark/>
          </w:tcPr>
          <w:p w14:paraId="1D7C5EC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Accuracy</w:t>
            </w:r>
          </w:p>
        </w:tc>
        <w:tc>
          <w:tcPr>
            <w:tcW w:w="0" w:type="auto"/>
            <w:vAlign w:val="center"/>
            <w:hideMark/>
          </w:tcPr>
          <w:p w14:paraId="474DB16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0.8784</w:t>
            </w:r>
          </w:p>
        </w:tc>
      </w:tr>
      <w:tr w:rsidR="00B84BA6" w:rsidRPr="00B84BA6" w14:paraId="6C22920F" w14:textId="77777777" w:rsidTr="00B6246A">
        <w:trPr>
          <w:tblCellSpacing w:w="15" w:type="dxa"/>
        </w:trPr>
        <w:tc>
          <w:tcPr>
            <w:tcW w:w="0" w:type="auto"/>
            <w:vAlign w:val="center"/>
            <w:hideMark/>
          </w:tcPr>
          <w:p w14:paraId="254F45B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w:t>
            </w:r>
          </w:p>
        </w:tc>
        <w:tc>
          <w:tcPr>
            <w:tcW w:w="0" w:type="auto"/>
            <w:vAlign w:val="center"/>
            <w:hideMark/>
          </w:tcPr>
          <w:p w14:paraId="6D33828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0.7348</w:t>
            </w:r>
          </w:p>
        </w:tc>
      </w:tr>
      <w:tr w:rsidR="00B84BA6" w:rsidRPr="00B84BA6" w14:paraId="1BD820CF" w14:textId="77777777" w:rsidTr="00B6246A">
        <w:trPr>
          <w:tblCellSpacing w:w="15" w:type="dxa"/>
        </w:trPr>
        <w:tc>
          <w:tcPr>
            <w:tcW w:w="0" w:type="auto"/>
            <w:vAlign w:val="center"/>
            <w:hideMark/>
          </w:tcPr>
          <w:p w14:paraId="054A4BC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Macro F1</w:t>
            </w:r>
          </w:p>
        </w:tc>
        <w:tc>
          <w:tcPr>
            <w:tcW w:w="0" w:type="auto"/>
            <w:vAlign w:val="center"/>
            <w:hideMark/>
          </w:tcPr>
          <w:p w14:paraId="0E48D9C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0.7245</w:t>
            </w:r>
          </w:p>
        </w:tc>
      </w:tr>
      <w:tr w:rsidR="00B84BA6" w:rsidRPr="00B84BA6" w14:paraId="398AF15C" w14:textId="77777777" w:rsidTr="00B6246A">
        <w:trPr>
          <w:tblCellSpacing w:w="15" w:type="dxa"/>
        </w:trPr>
        <w:tc>
          <w:tcPr>
            <w:tcW w:w="0" w:type="auto"/>
            <w:vAlign w:val="center"/>
            <w:hideMark/>
          </w:tcPr>
          <w:p w14:paraId="4D6F536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Precision</w:t>
            </w:r>
          </w:p>
        </w:tc>
        <w:tc>
          <w:tcPr>
            <w:tcW w:w="0" w:type="auto"/>
            <w:vAlign w:val="center"/>
            <w:hideMark/>
          </w:tcPr>
          <w:p w14:paraId="42E07F9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0.4940</w:t>
            </w:r>
          </w:p>
        </w:tc>
      </w:tr>
      <w:tr w:rsidR="00B84BA6" w:rsidRPr="00B84BA6" w14:paraId="392FCDB7" w14:textId="77777777" w:rsidTr="00B6246A">
        <w:trPr>
          <w:tblCellSpacing w:w="15" w:type="dxa"/>
        </w:trPr>
        <w:tc>
          <w:tcPr>
            <w:tcW w:w="0" w:type="auto"/>
            <w:vAlign w:val="center"/>
            <w:hideMark/>
          </w:tcPr>
          <w:p w14:paraId="225A30C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w:t>
            </w:r>
          </w:p>
        </w:tc>
        <w:tc>
          <w:tcPr>
            <w:tcW w:w="0" w:type="auto"/>
            <w:vAlign w:val="center"/>
            <w:hideMark/>
          </w:tcPr>
          <w:p w14:paraId="790E6B1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0.5458</w:t>
            </w:r>
          </w:p>
        </w:tc>
      </w:tr>
      <w:tr w:rsidR="00B84BA6" w:rsidRPr="00B84BA6" w14:paraId="31A1AB87" w14:textId="77777777" w:rsidTr="00B6246A">
        <w:trPr>
          <w:tblCellSpacing w:w="15" w:type="dxa"/>
        </w:trPr>
        <w:tc>
          <w:tcPr>
            <w:tcW w:w="0" w:type="auto"/>
            <w:vAlign w:val="center"/>
            <w:hideMark/>
          </w:tcPr>
          <w:p w14:paraId="79F3B65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F1</w:t>
            </w:r>
          </w:p>
        </w:tc>
        <w:tc>
          <w:tcPr>
            <w:tcW w:w="0" w:type="auto"/>
            <w:vAlign w:val="center"/>
            <w:hideMark/>
          </w:tcPr>
          <w:p w14:paraId="15A68DF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0.5186</w:t>
            </w:r>
          </w:p>
        </w:tc>
      </w:tr>
      <w:tr w:rsidR="00B84BA6" w:rsidRPr="00B84BA6" w14:paraId="36E98F8D" w14:textId="77777777" w:rsidTr="00B6246A">
        <w:trPr>
          <w:tblCellSpacing w:w="15" w:type="dxa"/>
        </w:trPr>
        <w:tc>
          <w:tcPr>
            <w:tcW w:w="0" w:type="auto"/>
            <w:vAlign w:val="center"/>
            <w:hideMark/>
          </w:tcPr>
          <w:p w14:paraId="223E2F9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Recall</w:t>
            </w:r>
          </w:p>
        </w:tc>
        <w:tc>
          <w:tcPr>
            <w:tcW w:w="0" w:type="auto"/>
            <w:vAlign w:val="center"/>
            <w:hideMark/>
          </w:tcPr>
          <w:p w14:paraId="46B55E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0.9238</w:t>
            </w:r>
          </w:p>
        </w:tc>
      </w:tr>
      <w:tr w:rsidR="00B84BA6" w:rsidRPr="00B84BA6" w14:paraId="45E30F90" w14:textId="77777777" w:rsidTr="00B6246A">
        <w:trPr>
          <w:tblCellSpacing w:w="15" w:type="dxa"/>
        </w:trPr>
        <w:tc>
          <w:tcPr>
            <w:tcW w:w="0" w:type="auto"/>
            <w:vAlign w:val="center"/>
            <w:hideMark/>
          </w:tcPr>
          <w:p w14:paraId="3934F37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ROC-AUC</w:t>
            </w:r>
          </w:p>
        </w:tc>
        <w:tc>
          <w:tcPr>
            <w:tcW w:w="0" w:type="auto"/>
            <w:vAlign w:val="center"/>
            <w:hideMark/>
          </w:tcPr>
          <w:p w14:paraId="3F6CA42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0.8297</w:t>
            </w:r>
          </w:p>
        </w:tc>
      </w:tr>
      <w:tr w:rsidR="00B84BA6" w:rsidRPr="00B84BA6" w14:paraId="6DD2EB14" w14:textId="77777777" w:rsidTr="00B6246A">
        <w:trPr>
          <w:tblCellSpacing w:w="15" w:type="dxa"/>
        </w:trPr>
        <w:tc>
          <w:tcPr>
            <w:tcW w:w="0" w:type="auto"/>
            <w:vAlign w:val="center"/>
            <w:hideMark/>
          </w:tcPr>
          <w:p w14:paraId="32D8F08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PR-AUC</w:t>
            </w:r>
          </w:p>
        </w:tc>
        <w:tc>
          <w:tcPr>
            <w:tcW w:w="0" w:type="auto"/>
            <w:vAlign w:val="center"/>
            <w:hideMark/>
          </w:tcPr>
          <w:p w14:paraId="478FAC5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0.5590</w:t>
            </w:r>
          </w:p>
        </w:tc>
      </w:tr>
      <w:tr w:rsidR="00B84BA6" w:rsidRPr="00B84BA6" w14:paraId="1EE57DCE" w14:textId="77777777" w:rsidTr="00B6246A">
        <w:trPr>
          <w:tblCellSpacing w:w="15" w:type="dxa"/>
        </w:trPr>
        <w:tc>
          <w:tcPr>
            <w:tcW w:w="0" w:type="auto"/>
            <w:vAlign w:val="center"/>
            <w:hideMark/>
          </w:tcPr>
          <w:p w14:paraId="4F9152E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False-Positive Rate</w:t>
            </w:r>
          </w:p>
        </w:tc>
        <w:tc>
          <w:tcPr>
            <w:tcW w:w="0" w:type="auto"/>
            <w:vAlign w:val="center"/>
            <w:hideMark/>
          </w:tcPr>
          <w:p w14:paraId="1527474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0.0762</w:t>
            </w:r>
          </w:p>
        </w:tc>
      </w:tr>
    </w:tbl>
    <w:p w14:paraId="7A8CE999" w14:textId="77777777" w:rsidR="00B6246A" w:rsidRDefault="00B6246A" w:rsidP="00B84BA6">
      <w:pPr>
        <w:spacing w:line="360" w:lineRule="auto"/>
        <w:jc w:val="both"/>
        <w:rPr>
          <w:rFonts w:ascii="Times New Roman" w:hAnsi="Times New Roman" w:cs="Times New Roman"/>
          <w:sz w:val="24"/>
          <w:szCs w:val="24"/>
          <w:lang w:val="en-ZW"/>
        </w:rPr>
      </w:pPr>
    </w:p>
    <w:p w14:paraId="6517FE9B" w14:textId="11F18BCD"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Overall accuracy decreased from 0.8984 on the final-test population to 0.8784 on the independent population. Macro F1 decreased from 0.7471 to 0.7245.</w:t>
      </w:r>
    </w:p>
    <w:p w14:paraId="648F780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 increased slightly from 0.5206 to 0.5458. However, suspicious precision decreased from 0.5864 to 0.4940. The independent population therefore produced proportionally more false suspicious classifications while detecting a slightly greater proportion of the genuinely suspicious examples.</w:t>
      </w:r>
    </w:p>
    <w:p w14:paraId="6EFD21D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ROC-AUC decreased from 0.8474 to 0.8297, while PR-AUC decreased from 0.5829 to 0.5590.</w:t>
      </w:r>
    </w:p>
    <w:p w14:paraId="00096D1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The results demonstrated that performance was not identical across unseen populations. This is an important finding because evaluation on only one test population could provide an incomplete understanding of model behaviour.</w:t>
      </w:r>
    </w:p>
    <w:p w14:paraId="016647BA" w14:textId="77777777" w:rsidR="00781B55" w:rsidRDefault="00781B55" w:rsidP="00B84BA6">
      <w:pPr>
        <w:spacing w:line="360" w:lineRule="auto"/>
        <w:jc w:val="both"/>
        <w:rPr>
          <w:rFonts w:ascii="Times New Roman" w:hAnsi="Times New Roman" w:cs="Times New Roman"/>
          <w:b/>
          <w:bCs/>
          <w:sz w:val="24"/>
          <w:szCs w:val="24"/>
          <w:lang w:val="en-ZW"/>
        </w:rPr>
      </w:pPr>
    </w:p>
    <w:p w14:paraId="04AAAF40" w14:textId="2F44E732"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4.8 Independent-Evaluation Confusion Matrix</w:t>
      </w:r>
    </w:p>
    <w:p w14:paraId="02C7F9DF" w14:textId="77777777" w:rsidR="00B34729" w:rsidRDefault="00B34729" w:rsidP="00B84BA6">
      <w:pPr>
        <w:spacing w:line="360" w:lineRule="auto"/>
        <w:jc w:val="both"/>
        <w:rPr>
          <w:rFonts w:ascii="Times New Roman" w:hAnsi="Times New Roman" w:cs="Times New Roman"/>
          <w:sz w:val="24"/>
          <w:szCs w:val="24"/>
          <w:lang w:val="en-ZW"/>
        </w:rPr>
      </w:pPr>
    </w:p>
    <w:p w14:paraId="2311DDF4" w14:textId="521ECDBF"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independent confusion matrix is presented in Table 4.7.</w:t>
      </w:r>
    </w:p>
    <w:p w14:paraId="7F7CA78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Table 4.7: Independent-Evaluation Confusion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1913"/>
        <w:gridCol w:w="2222"/>
      </w:tblGrid>
      <w:tr w:rsidR="00B84BA6" w:rsidRPr="00B84BA6" w14:paraId="00D123B5" w14:textId="77777777" w:rsidTr="00B34729">
        <w:trPr>
          <w:tblHeader/>
          <w:tblCellSpacing w:w="15" w:type="dxa"/>
        </w:trPr>
        <w:tc>
          <w:tcPr>
            <w:tcW w:w="0" w:type="auto"/>
            <w:vAlign w:val="center"/>
            <w:hideMark/>
          </w:tcPr>
          <w:p w14:paraId="6C3313FF"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Actual Class</w:t>
            </w:r>
          </w:p>
        </w:tc>
        <w:tc>
          <w:tcPr>
            <w:tcW w:w="0" w:type="auto"/>
            <w:vAlign w:val="center"/>
            <w:hideMark/>
          </w:tcPr>
          <w:p w14:paraId="7E92FB8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Normal</w:t>
            </w:r>
          </w:p>
        </w:tc>
        <w:tc>
          <w:tcPr>
            <w:tcW w:w="0" w:type="auto"/>
            <w:vAlign w:val="center"/>
            <w:hideMark/>
          </w:tcPr>
          <w:p w14:paraId="67C80E15"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Predicted Suspicious</w:t>
            </w:r>
          </w:p>
        </w:tc>
      </w:tr>
      <w:tr w:rsidR="00B84BA6" w:rsidRPr="00B84BA6" w14:paraId="02C781BC" w14:textId="77777777" w:rsidTr="00B34729">
        <w:trPr>
          <w:tblCellSpacing w:w="15" w:type="dxa"/>
        </w:trPr>
        <w:tc>
          <w:tcPr>
            <w:tcW w:w="0" w:type="auto"/>
            <w:vAlign w:val="center"/>
            <w:hideMark/>
          </w:tcPr>
          <w:p w14:paraId="725395B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w:t>
            </w:r>
          </w:p>
        </w:tc>
        <w:tc>
          <w:tcPr>
            <w:tcW w:w="0" w:type="auto"/>
            <w:vAlign w:val="center"/>
            <w:hideMark/>
          </w:tcPr>
          <w:p w14:paraId="0BA2975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8,129</w:t>
            </w:r>
          </w:p>
        </w:tc>
        <w:tc>
          <w:tcPr>
            <w:tcW w:w="0" w:type="auto"/>
            <w:vAlign w:val="center"/>
            <w:hideMark/>
          </w:tcPr>
          <w:p w14:paraId="7793F91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671</w:t>
            </w:r>
          </w:p>
        </w:tc>
      </w:tr>
      <w:tr w:rsidR="00B84BA6" w:rsidRPr="00B84BA6" w14:paraId="48AE0D47" w14:textId="77777777" w:rsidTr="00B34729">
        <w:trPr>
          <w:tblCellSpacing w:w="15" w:type="dxa"/>
        </w:trPr>
        <w:tc>
          <w:tcPr>
            <w:tcW w:w="0" w:type="auto"/>
            <w:vAlign w:val="center"/>
            <w:hideMark/>
          </w:tcPr>
          <w:p w14:paraId="3AC8BA6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w:t>
            </w:r>
          </w:p>
        </w:tc>
        <w:tc>
          <w:tcPr>
            <w:tcW w:w="0" w:type="auto"/>
            <w:vAlign w:val="center"/>
            <w:hideMark/>
          </w:tcPr>
          <w:p w14:paraId="41A2CDB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545</w:t>
            </w:r>
          </w:p>
        </w:tc>
        <w:tc>
          <w:tcPr>
            <w:tcW w:w="0" w:type="auto"/>
            <w:vAlign w:val="center"/>
            <w:hideMark/>
          </w:tcPr>
          <w:p w14:paraId="1DBBCCD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655</w:t>
            </w:r>
          </w:p>
        </w:tc>
      </w:tr>
    </w:tbl>
    <w:p w14:paraId="555175CC" w14:textId="77777777" w:rsidR="00B34729" w:rsidRDefault="00B34729" w:rsidP="00B84BA6">
      <w:pPr>
        <w:spacing w:line="360" w:lineRule="auto"/>
        <w:jc w:val="both"/>
        <w:rPr>
          <w:rFonts w:ascii="Times New Roman" w:hAnsi="Times New Roman" w:cs="Times New Roman"/>
          <w:sz w:val="24"/>
          <w:szCs w:val="24"/>
          <w:lang w:val="en-ZW"/>
        </w:rPr>
      </w:pPr>
    </w:p>
    <w:p w14:paraId="584026F9" w14:textId="3EA183FE"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model correctly classified 8,129 normal transactions and incorrectly classified 671 normal transactions as suspicious.</w:t>
      </w:r>
    </w:p>
    <w:p w14:paraId="3023F18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Among the 1,200 suspicious transactions, 655 were detected and 545 were incorrectly classified as normal.</w:t>
      </w:r>
    </w:p>
    <w:p w14:paraId="6DF698E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increased proportion of false positives compared with the final-test population contributed to the reduction in suspicious precision.</w:t>
      </w:r>
    </w:p>
    <w:p w14:paraId="2855626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4.2 HERE]</w:t>
      </w:r>
    </w:p>
    <w:p w14:paraId="6EAC42E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Figure 4.2: Independent-Evaluation Confusion Matrix</w:t>
      </w:r>
    </w:p>
    <w:p w14:paraId="593FE027" w14:textId="77777777" w:rsidR="00B34729" w:rsidRDefault="00B34729" w:rsidP="00B84BA6">
      <w:pPr>
        <w:spacing w:line="360" w:lineRule="auto"/>
        <w:jc w:val="both"/>
        <w:rPr>
          <w:rFonts w:ascii="Times New Roman" w:hAnsi="Times New Roman" w:cs="Times New Roman"/>
          <w:b/>
          <w:bCs/>
          <w:sz w:val="24"/>
          <w:szCs w:val="24"/>
          <w:lang w:val="en-ZW"/>
        </w:rPr>
      </w:pPr>
    </w:p>
    <w:p w14:paraId="618FC167" w14:textId="3120FABD"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4.9 Comparison of Final-Test and Independent-Evaluation Results</w:t>
      </w:r>
    </w:p>
    <w:p w14:paraId="62FB87D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Comparing the two evaluation populations provided a clearer indication of how the frozen classifier behaved across separate unseen entity populations.</w:t>
      </w:r>
    </w:p>
    <w:p w14:paraId="6B691D8B" w14:textId="77777777" w:rsidR="00B34729" w:rsidRDefault="00B34729" w:rsidP="00B84BA6">
      <w:pPr>
        <w:spacing w:line="360" w:lineRule="auto"/>
        <w:jc w:val="both"/>
        <w:rPr>
          <w:rFonts w:ascii="Times New Roman" w:hAnsi="Times New Roman" w:cs="Times New Roman"/>
          <w:b/>
          <w:bCs/>
          <w:sz w:val="24"/>
          <w:szCs w:val="24"/>
          <w:lang w:val="en-ZW"/>
        </w:rPr>
      </w:pPr>
    </w:p>
    <w:p w14:paraId="669689B5" w14:textId="1727C2CE"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4.8: Final-Test and Independent-Evaluation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9"/>
        <w:gridCol w:w="1114"/>
        <w:gridCol w:w="2570"/>
      </w:tblGrid>
      <w:tr w:rsidR="00B84BA6" w:rsidRPr="00B84BA6" w14:paraId="15032E32" w14:textId="77777777" w:rsidTr="00B34729">
        <w:trPr>
          <w:tblHeader/>
          <w:tblCellSpacing w:w="15" w:type="dxa"/>
        </w:trPr>
        <w:tc>
          <w:tcPr>
            <w:tcW w:w="0" w:type="auto"/>
            <w:vAlign w:val="center"/>
            <w:hideMark/>
          </w:tcPr>
          <w:p w14:paraId="382DDFB6"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Metric</w:t>
            </w:r>
          </w:p>
        </w:tc>
        <w:tc>
          <w:tcPr>
            <w:tcW w:w="0" w:type="auto"/>
            <w:vAlign w:val="center"/>
            <w:hideMark/>
          </w:tcPr>
          <w:p w14:paraId="52EC25B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Final Test</w:t>
            </w:r>
          </w:p>
        </w:tc>
        <w:tc>
          <w:tcPr>
            <w:tcW w:w="0" w:type="auto"/>
            <w:vAlign w:val="center"/>
            <w:hideMark/>
          </w:tcPr>
          <w:p w14:paraId="48703DE4"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Independent Evaluation</w:t>
            </w:r>
          </w:p>
        </w:tc>
      </w:tr>
      <w:tr w:rsidR="00B84BA6" w:rsidRPr="00B84BA6" w14:paraId="509247E3" w14:textId="77777777" w:rsidTr="00B34729">
        <w:trPr>
          <w:tblCellSpacing w:w="15" w:type="dxa"/>
        </w:trPr>
        <w:tc>
          <w:tcPr>
            <w:tcW w:w="0" w:type="auto"/>
            <w:vAlign w:val="center"/>
            <w:hideMark/>
          </w:tcPr>
          <w:p w14:paraId="360FE9E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Accuracy</w:t>
            </w:r>
          </w:p>
        </w:tc>
        <w:tc>
          <w:tcPr>
            <w:tcW w:w="0" w:type="auto"/>
            <w:vAlign w:val="center"/>
            <w:hideMark/>
          </w:tcPr>
          <w:p w14:paraId="1B8C8C5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0.8984</w:t>
            </w:r>
          </w:p>
        </w:tc>
        <w:tc>
          <w:tcPr>
            <w:tcW w:w="0" w:type="auto"/>
            <w:vAlign w:val="center"/>
            <w:hideMark/>
          </w:tcPr>
          <w:p w14:paraId="79F1E95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0.8784</w:t>
            </w:r>
          </w:p>
        </w:tc>
      </w:tr>
      <w:tr w:rsidR="00B84BA6" w:rsidRPr="00B84BA6" w14:paraId="1A28ADF6" w14:textId="77777777" w:rsidTr="00B34729">
        <w:trPr>
          <w:tblCellSpacing w:w="15" w:type="dxa"/>
        </w:trPr>
        <w:tc>
          <w:tcPr>
            <w:tcW w:w="0" w:type="auto"/>
            <w:vAlign w:val="center"/>
            <w:hideMark/>
          </w:tcPr>
          <w:p w14:paraId="16DCA4D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w:t>
            </w:r>
          </w:p>
        </w:tc>
        <w:tc>
          <w:tcPr>
            <w:tcW w:w="0" w:type="auto"/>
            <w:vAlign w:val="center"/>
            <w:hideMark/>
          </w:tcPr>
          <w:p w14:paraId="29AB6EC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0.7352</w:t>
            </w:r>
          </w:p>
        </w:tc>
        <w:tc>
          <w:tcPr>
            <w:tcW w:w="0" w:type="auto"/>
            <w:vAlign w:val="center"/>
            <w:hideMark/>
          </w:tcPr>
          <w:p w14:paraId="30C53FA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0.7348</w:t>
            </w:r>
          </w:p>
        </w:tc>
      </w:tr>
      <w:tr w:rsidR="00B84BA6" w:rsidRPr="00B84BA6" w14:paraId="5F9C9B7E" w14:textId="77777777" w:rsidTr="00B34729">
        <w:trPr>
          <w:tblCellSpacing w:w="15" w:type="dxa"/>
        </w:trPr>
        <w:tc>
          <w:tcPr>
            <w:tcW w:w="0" w:type="auto"/>
            <w:vAlign w:val="center"/>
            <w:hideMark/>
          </w:tcPr>
          <w:p w14:paraId="25A66F3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Macro F1</w:t>
            </w:r>
          </w:p>
        </w:tc>
        <w:tc>
          <w:tcPr>
            <w:tcW w:w="0" w:type="auto"/>
            <w:vAlign w:val="center"/>
            <w:hideMark/>
          </w:tcPr>
          <w:p w14:paraId="7D064BD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0.7471</w:t>
            </w:r>
          </w:p>
        </w:tc>
        <w:tc>
          <w:tcPr>
            <w:tcW w:w="0" w:type="auto"/>
            <w:vAlign w:val="center"/>
            <w:hideMark/>
          </w:tcPr>
          <w:p w14:paraId="7597E79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0.7245</w:t>
            </w:r>
          </w:p>
        </w:tc>
      </w:tr>
      <w:tr w:rsidR="00B84BA6" w:rsidRPr="00B84BA6" w14:paraId="75964E29" w14:textId="77777777" w:rsidTr="00B34729">
        <w:trPr>
          <w:tblCellSpacing w:w="15" w:type="dxa"/>
        </w:trPr>
        <w:tc>
          <w:tcPr>
            <w:tcW w:w="0" w:type="auto"/>
            <w:vAlign w:val="center"/>
            <w:hideMark/>
          </w:tcPr>
          <w:p w14:paraId="1606128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Precision</w:t>
            </w:r>
          </w:p>
        </w:tc>
        <w:tc>
          <w:tcPr>
            <w:tcW w:w="0" w:type="auto"/>
            <w:vAlign w:val="center"/>
            <w:hideMark/>
          </w:tcPr>
          <w:p w14:paraId="0202AD0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0.5864</w:t>
            </w:r>
          </w:p>
        </w:tc>
        <w:tc>
          <w:tcPr>
            <w:tcW w:w="0" w:type="auto"/>
            <w:vAlign w:val="center"/>
            <w:hideMark/>
          </w:tcPr>
          <w:p w14:paraId="3BB3A38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0.4940</w:t>
            </w:r>
          </w:p>
        </w:tc>
      </w:tr>
      <w:tr w:rsidR="00B84BA6" w:rsidRPr="00B84BA6" w14:paraId="02374763" w14:textId="77777777" w:rsidTr="00B34729">
        <w:trPr>
          <w:tblCellSpacing w:w="15" w:type="dxa"/>
        </w:trPr>
        <w:tc>
          <w:tcPr>
            <w:tcW w:w="0" w:type="auto"/>
            <w:vAlign w:val="center"/>
            <w:hideMark/>
          </w:tcPr>
          <w:p w14:paraId="224167F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Recall</w:t>
            </w:r>
          </w:p>
        </w:tc>
        <w:tc>
          <w:tcPr>
            <w:tcW w:w="0" w:type="auto"/>
            <w:vAlign w:val="center"/>
            <w:hideMark/>
          </w:tcPr>
          <w:p w14:paraId="423F40B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0.5206</w:t>
            </w:r>
          </w:p>
        </w:tc>
        <w:tc>
          <w:tcPr>
            <w:tcW w:w="0" w:type="auto"/>
            <w:vAlign w:val="center"/>
            <w:hideMark/>
          </w:tcPr>
          <w:p w14:paraId="0FA32E6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0.5458</w:t>
            </w:r>
          </w:p>
        </w:tc>
      </w:tr>
      <w:tr w:rsidR="00B84BA6" w:rsidRPr="00B84BA6" w14:paraId="2AA1365D" w14:textId="77777777" w:rsidTr="00B34729">
        <w:trPr>
          <w:tblCellSpacing w:w="15" w:type="dxa"/>
        </w:trPr>
        <w:tc>
          <w:tcPr>
            <w:tcW w:w="0" w:type="auto"/>
            <w:vAlign w:val="center"/>
            <w:hideMark/>
          </w:tcPr>
          <w:p w14:paraId="1DBA560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Suspicious F1</w:t>
            </w:r>
          </w:p>
        </w:tc>
        <w:tc>
          <w:tcPr>
            <w:tcW w:w="0" w:type="auto"/>
            <w:vAlign w:val="center"/>
            <w:hideMark/>
          </w:tcPr>
          <w:p w14:paraId="1082A20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0.5515</w:t>
            </w:r>
          </w:p>
        </w:tc>
        <w:tc>
          <w:tcPr>
            <w:tcW w:w="0" w:type="auto"/>
            <w:vAlign w:val="center"/>
            <w:hideMark/>
          </w:tcPr>
          <w:p w14:paraId="7E8E0D4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0.5186</w:t>
            </w:r>
          </w:p>
        </w:tc>
      </w:tr>
      <w:tr w:rsidR="00B84BA6" w:rsidRPr="00B84BA6" w14:paraId="16B36557" w14:textId="77777777" w:rsidTr="00B34729">
        <w:trPr>
          <w:tblCellSpacing w:w="15" w:type="dxa"/>
        </w:trPr>
        <w:tc>
          <w:tcPr>
            <w:tcW w:w="0" w:type="auto"/>
            <w:vAlign w:val="center"/>
            <w:hideMark/>
          </w:tcPr>
          <w:p w14:paraId="05AF5D2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Recall</w:t>
            </w:r>
          </w:p>
        </w:tc>
        <w:tc>
          <w:tcPr>
            <w:tcW w:w="0" w:type="auto"/>
            <w:vAlign w:val="center"/>
            <w:hideMark/>
          </w:tcPr>
          <w:p w14:paraId="3394C8E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0.9498</w:t>
            </w:r>
          </w:p>
        </w:tc>
        <w:tc>
          <w:tcPr>
            <w:tcW w:w="0" w:type="auto"/>
            <w:vAlign w:val="center"/>
            <w:hideMark/>
          </w:tcPr>
          <w:p w14:paraId="6DEC20C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0.9238</w:t>
            </w:r>
          </w:p>
        </w:tc>
      </w:tr>
      <w:tr w:rsidR="00B84BA6" w:rsidRPr="00B84BA6" w14:paraId="55C13C09" w14:textId="77777777" w:rsidTr="00B34729">
        <w:trPr>
          <w:tblCellSpacing w:w="15" w:type="dxa"/>
        </w:trPr>
        <w:tc>
          <w:tcPr>
            <w:tcW w:w="0" w:type="auto"/>
            <w:vAlign w:val="center"/>
            <w:hideMark/>
          </w:tcPr>
          <w:p w14:paraId="7B4380A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ROC-AUC</w:t>
            </w:r>
          </w:p>
        </w:tc>
        <w:tc>
          <w:tcPr>
            <w:tcW w:w="0" w:type="auto"/>
            <w:vAlign w:val="center"/>
            <w:hideMark/>
          </w:tcPr>
          <w:p w14:paraId="67ABCD3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0.8474</w:t>
            </w:r>
          </w:p>
        </w:tc>
        <w:tc>
          <w:tcPr>
            <w:tcW w:w="0" w:type="auto"/>
            <w:vAlign w:val="center"/>
            <w:hideMark/>
          </w:tcPr>
          <w:p w14:paraId="44ED116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0.8297</w:t>
            </w:r>
          </w:p>
        </w:tc>
      </w:tr>
      <w:tr w:rsidR="00B84BA6" w:rsidRPr="00B84BA6" w14:paraId="74ECBADE" w14:textId="77777777" w:rsidTr="00B34729">
        <w:trPr>
          <w:tblCellSpacing w:w="15" w:type="dxa"/>
        </w:trPr>
        <w:tc>
          <w:tcPr>
            <w:tcW w:w="0" w:type="auto"/>
            <w:vAlign w:val="center"/>
            <w:hideMark/>
          </w:tcPr>
          <w:p w14:paraId="7129182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PR-AUC</w:t>
            </w:r>
          </w:p>
        </w:tc>
        <w:tc>
          <w:tcPr>
            <w:tcW w:w="0" w:type="auto"/>
            <w:vAlign w:val="center"/>
            <w:hideMark/>
          </w:tcPr>
          <w:p w14:paraId="508FBBA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0.5829</w:t>
            </w:r>
          </w:p>
        </w:tc>
        <w:tc>
          <w:tcPr>
            <w:tcW w:w="0" w:type="auto"/>
            <w:vAlign w:val="center"/>
            <w:hideMark/>
          </w:tcPr>
          <w:p w14:paraId="351EAD5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0.5590</w:t>
            </w:r>
          </w:p>
        </w:tc>
      </w:tr>
    </w:tbl>
    <w:p w14:paraId="0C596A8B" w14:textId="77777777" w:rsidR="00B34729" w:rsidRDefault="00B34729" w:rsidP="00B84BA6">
      <w:pPr>
        <w:spacing w:line="360" w:lineRule="auto"/>
        <w:jc w:val="both"/>
        <w:rPr>
          <w:rFonts w:ascii="Times New Roman" w:hAnsi="Times New Roman" w:cs="Times New Roman"/>
          <w:sz w:val="24"/>
          <w:szCs w:val="24"/>
          <w:lang w:val="en-ZW"/>
        </w:rPr>
      </w:pPr>
    </w:p>
    <w:p w14:paraId="38C9D5CD" w14:textId="3A9F4CFD"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Balanced Accuracy remained almost unchanged, decreasing from 0.7352 to 0.7348. Suspicious recall also remained within a similar range and was slightly higher on the independent population.</w:t>
      </w:r>
    </w:p>
    <w:p w14:paraId="321BFCC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largest practical reduction occurred in suspicious precision, which decreased from 0.5864 to 0.4940. The independent population therefore generated more false-positive suspicious classifications relative to the number of true-positive classifications.</w:t>
      </w:r>
    </w:p>
    <w:p w14:paraId="76BC457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results provide evidence that the classifier retained useful discriminatory behaviour on another isolated synthetic population. They do not, however, demonstrate real-world generalisation. Synthetic AML datasets are valuable because they can provide known labels, but they remain generated representations of financial behaviour rather than live operational data [7]. </w:t>
      </w:r>
    </w:p>
    <w:p w14:paraId="2FC0C4E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4.3 HERE]</w:t>
      </w:r>
    </w:p>
    <w:p w14:paraId="114EF5C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Figure 4.3: Final-Test and Independent-Evaluation Performance Comparison</w:t>
      </w:r>
    </w:p>
    <w:p w14:paraId="1D380360"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4.10 ROC-AUC and Precision-Recall Performance</w:t>
      </w:r>
    </w:p>
    <w:p w14:paraId="08E64E2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final-test ROC-AUC was 0.8474, while independent-evaluation ROC-AUC was 0.8297. These values showed that the model retained useful ability to rank suspicious-pattern observations relative to normal observations.</w:t>
      </w:r>
    </w:p>
    <w:p w14:paraId="0651AEB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corresponding PR-AUC values were 0.5829 and 0.5590 respectively.</w:t>
      </w:r>
    </w:p>
    <w:p w14:paraId="06A8C6A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Precision-recall performance was particularly relevant because suspicious transactions represented only 12% of the dataset. A classifier could achieve high overall accuracy by favouring the majority normal class while still performing inadequately on suspicious activity. AML machine-learning research therefore requires careful evaluation under class imbalance rather than reliance on one aggregate performance measure [5]. </w:t>
      </w:r>
    </w:p>
    <w:p w14:paraId="13D9A72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difference between ROC-AUC and PR-AUC in the results further illustrates the difficulty of maintaining high precision while detecting the minority suspicious class.</w:t>
      </w:r>
    </w:p>
    <w:p w14:paraId="1FEF06C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4.4 HERE]</w:t>
      </w:r>
    </w:p>
    <w:p w14:paraId="2FE4825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Figure 4.4: ROC and Precision-Recall Performance of the Frozen Model</w:t>
      </w:r>
    </w:p>
    <w:p w14:paraId="7786D369" w14:textId="77777777" w:rsidR="00C85BA2" w:rsidRDefault="00C85BA2" w:rsidP="00B84BA6">
      <w:pPr>
        <w:spacing w:line="360" w:lineRule="auto"/>
        <w:jc w:val="both"/>
        <w:rPr>
          <w:rFonts w:ascii="Times New Roman" w:hAnsi="Times New Roman" w:cs="Times New Roman"/>
          <w:b/>
          <w:bCs/>
          <w:sz w:val="24"/>
          <w:szCs w:val="24"/>
          <w:lang w:val="en-ZW"/>
        </w:rPr>
      </w:pPr>
    </w:p>
    <w:p w14:paraId="6C6959AF" w14:textId="2E93CF5C"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4.11 Performance Across Behavioural Dimensions</w:t>
      </w:r>
    </w:p>
    <w:p w14:paraId="20A2881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Aggregate model results did not establish whether the classifier performed equally well across the three suspicious behavioural dimensions. Suspicious recall was therefore examined separately for structuring, wallet/transaction-network and agent behaviour.</w:t>
      </w:r>
    </w:p>
    <w:p w14:paraId="076B86A3" w14:textId="77777777" w:rsidR="00C85BA2" w:rsidRDefault="00C85BA2" w:rsidP="00B84BA6">
      <w:pPr>
        <w:spacing w:line="360" w:lineRule="auto"/>
        <w:jc w:val="both"/>
        <w:rPr>
          <w:rFonts w:ascii="Times New Roman" w:hAnsi="Times New Roman" w:cs="Times New Roman"/>
          <w:sz w:val="24"/>
          <w:szCs w:val="24"/>
          <w:lang w:val="en-ZW"/>
        </w:rPr>
      </w:pPr>
    </w:p>
    <w:p w14:paraId="164C65A1" w14:textId="0A695EEE"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4.9 presents the domain-level results.</w:t>
      </w:r>
    </w:p>
    <w:p w14:paraId="0BE3819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4.9: Suspicious Recall by Behavioural Dimension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4"/>
        <w:gridCol w:w="1834"/>
        <w:gridCol w:w="2089"/>
      </w:tblGrid>
      <w:tr w:rsidR="00B84BA6" w:rsidRPr="00B84BA6" w14:paraId="77AD61BE" w14:textId="77777777" w:rsidTr="005A2EB0">
        <w:trPr>
          <w:tblHeader/>
          <w:tblCellSpacing w:w="15" w:type="dxa"/>
        </w:trPr>
        <w:tc>
          <w:tcPr>
            <w:tcW w:w="0" w:type="auto"/>
            <w:vAlign w:val="center"/>
            <w:hideMark/>
          </w:tcPr>
          <w:p w14:paraId="31EF6F39"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Behavioural Dimension</w:t>
            </w:r>
          </w:p>
        </w:tc>
        <w:tc>
          <w:tcPr>
            <w:tcW w:w="0" w:type="auto"/>
            <w:vAlign w:val="center"/>
            <w:hideMark/>
          </w:tcPr>
          <w:p w14:paraId="498AB0BA"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Final-Test Recall</w:t>
            </w:r>
          </w:p>
        </w:tc>
        <w:tc>
          <w:tcPr>
            <w:tcW w:w="0" w:type="auto"/>
            <w:vAlign w:val="center"/>
            <w:hideMark/>
          </w:tcPr>
          <w:p w14:paraId="68AAB34C"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Independent Recall</w:t>
            </w:r>
          </w:p>
        </w:tc>
      </w:tr>
      <w:tr w:rsidR="00B84BA6" w:rsidRPr="00B84BA6" w14:paraId="2922D0C1" w14:textId="77777777" w:rsidTr="005A2EB0">
        <w:trPr>
          <w:tblCellSpacing w:w="15" w:type="dxa"/>
        </w:trPr>
        <w:tc>
          <w:tcPr>
            <w:tcW w:w="0" w:type="auto"/>
            <w:vAlign w:val="center"/>
            <w:hideMark/>
          </w:tcPr>
          <w:p w14:paraId="518BAEE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Structuring</w:t>
            </w:r>
          </w:p>
        </w:tc>
        <w:tc>
          <w:tcPr>
            <w:tcW w:w="0" w:type="auto"/>
            <w:vAlign w:val="center"/>
            <w:hideMark/>
          </w:tcPr>
          <w:p w14:paraId="76C0ED7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24.8%</w:t>
            </w:r>
          </w:p>
        </w:tc>
        <w:tc>
          <w:tcPr>
            <w:tcW w:w="0" w:type="auto"/>
            <w:vAlign w:val="center"/>
            <w:hideMark/>
          </w:tcPr>
          <w:p w14:paraId="6263C8F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30.8%</w:t>
            </w:r>
          </w:p>
        </w:tc>
      </w:tr>
      <w:tr w:rsidR="00B84BA6" w:rsidRPr="00B84BA6" w14:paraId="4DB693DA" w14:textId="77777777" w:rsidTr="005A2EB0">
        <w:trPr>
          <w:tblCellSpacing w:w="15" w:type="dxa"/>
        </w:trPr>
        <w:tc>
          <w:tcPr>
            <w:tcW w:w="0" w:type="auto"/>
            <w:vAlign w:val="center"/>
            <w:hideMark/>
          </w:tcPr>
          <w:p w14:paraId="37AF481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Wallet/Transaction-Network</w:t>
            </w:r>
          </w:p>
        </w:tc>
        <w:tc>
          <w:tcPr>
            <w:tcW w:w="0" w:type="auto"/>
            <w:vAlign w:val="center"/>
            <w:hideMark/>
          </w:tcPr>
          <w:p w14:paraId="5A6D7B3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70.0%</w:t>
            </w:r>
          </w:p>
        </w:tc>
        <w:tc>
          <w:tcPr>
            <w:tcW w:w="0" w:type="auto"/>
            <w:vAlign w:val="center"/>
            <w:hideMark/>
          </w:tcPr>
          <w:p w14:paraId="351DA7A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74.3%</w:t>
            </w:r>
          </w:p>
        </w:tc>
      </w:tr>
      <w:tr w:rsidR="00B84BA6" w:rsidRPr="00B84BA6" w14:paraId="56876F84" w14:textId="77777777" w:rsidTr="005A2EB0">
        <w:trPr>
          <w:tblCellSpacing w:w="15" w:type="dxa"/>
        </w:trPr>
        <w:tc>
          <w:tcPr>
            <w:tcW w:w="0" w:type="auto"/>
            <w:vAlign w:val="center"/>
            <w:hideMark/>
          </w:tcPr>
          <w:p w14:paraId="705303A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w:t>
            </w:r>
          </w:p>
        </w:tc>
        <w:tc>
          <w:tcPr>
            <w:tcW w:w="0" w:type="auto"/>
            <w:vAlign w:val="center"/>
            <w:hideMark/>
          </w:tcPr>
          <w:p w14:paraId="3BBF5E3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61.3%</w:t>
            </w:r>
          </w:p>
        </w:tc>
        <w:tc>
          <w:tcPr>
            <w:tcW w:w="0" w:type="auto"/>
            <w:vAlign w:val="center"/>
            <w:hideMark/>
          </w:tcPr>
          <w:p w14:paraId="378DD09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58.8%</w:t>
            </w:r>
          </w:p>
        </w:tc>
      </w:tr>
    </w:tbl>
    <w:p w14:paraId="4873B2EB" w14:textId="77777777" w:rsidR="005A2EB0" w:rsidRDefault="005A2EB0" w:rsidP="00B84BA6">
      <w:pPr>
        <w:spacing w:line="360" w:lineRule="auto"/>
        <w:jc w:val="both"/>
        <w:rPr>
          <w:rFonts w:ascii="Times New Roman" w:hAnsi="Times New Roman" w:cs="Times New Roman"/>
          <w:sz w:val="24"/>
          <w:szCs w:val="24"/>
          <w:lang w:val="en-ZW"/>
        </w:rPr>
      </w:pPr>
    </w:p>
    <w:p w14:paraId="24CE0C2C" w14:textId="0E9D6D38"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Substantial differences were observed among the three dimensions.</w:t>
      </w:r>
    </w:p>
    <w:p w14:paraId="0FB5B91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Wallet/transaction-network behaviour produced the strongest performance. The model detected 70.0% of network suspicious patterns in the final-test population and 74.3% in the independent population.</w:t>
      </w:r>
    </w:p>
    <w:p w14:paraId="4989AD2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 behaviour produced recall of 61.3% on the final test and 58.8% on the independent population.</w:t>
      </w:r>
    </w:p>
    <w:p w14:paraId="41C45AD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Structuring was considerably more difficult. Only 24.8% of structuring suspicious examples were detected within the final-test population, increasing to 30.8% within the independent population.</w:t>
      </w:r>
    </w:p>
    <w:p w14:paraId="24DD508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results therefore demonstrate that the model cannot be described as equally effective across all three intended behavioural dimensions.</w:t>
      </w:r>
    </w:p>
    <w:p w14:paraId="596833B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4.5 HERE]</w:t>
      </w:r>
    </w:p>
    <w:p w14:paraId="0D96104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Figure 4.5: Suspicious Recall by Behavioural Dimension</w:t>
      </w:r>
    </w:p>
    <w:p w14:paraId="389700B2" w14:textId="77777777" w:rsidR="005A2EB0" w:rsidRDefault="005A2EB0" w:rsidP="00B84BA6">
      <w:pPr>
        <w:spacing w:line="360" w:lineRule="auto"/>
        <w:jc w:val="both"/>
        <w:rPr>
          <w:rFonts w:ascii="Times New Roman" w:hAnsi="Times New Roman" w:cs="Times New Roman"/>
          <w:b/>
          <w:bCs/>
          <w:sz w:val="24"/>
          <w:szCs w:val="24"/>
          <w:lang w:val="en-ZW"/>
        </w:rPr>
      </w:pPr>
    </w:p>
    <w:p w14:paraId="50FAA711" w14:textId="19A3B658"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4.12 Discussion of Structuring Performance</w:t>
      </w:r>
    </w:p>
    <w:p w14:paraId="3AE8110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Structuring represented the principal weakness of the frozen classifier.</w:t>
      </w:r>
    </w:p>
    <w:p w14:paraId="73E1981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Final-test structuring recall of 24.8% meant that approximately three quarters of the controlled structuring examples were not detected by the model at the selected operating threshold. Independent recall increased to 30.8%, but this remained substantially below the results obtained for network and agent behaviour.</w:t>
      </w:r>
    </w:p>
    <w:p w14:paraId="3095DD0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A subsequent diagnostic analysis was conducted to investigate this weakness. The analysis indicated that some synthetic structuring examples overlapped substantially with normal activity in the available feature space. This reduced the separation available to the classifier.</w:t>
      </w:r>
    </w:p>
    <w:p w14:paraId="004CB0C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result demonstrates an important machine-learning principle within the context of this research: changing the classifier alone cannot necessarily overcome weak class separation in the input representation. AML machine-learning research similarly recognises that feature construction, behavioural representation and available labels are central challenges rather than model selection being the only consideration [5]. </w:t>
      </w:r>
    </w:p>
    <w:p w14:paraId="1925AED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structuring weakness was therefore retained as </w:t>
      </w:r>
      <w:proofErr w:type="gramStart"/>
      <w:r w:rsidRPr="00B84BA6">
        <w:rPr>
          <w:rFonts w:ascii="Times New Roman" w:hAnsi="Times New Roman" w:cs="Times New Roman"/>
          <w:sz w:val="24"/>
          <w:szCs w:val="24"/>
          <w:lang w:val="en-ZW"/>
        </w:rPr>
        <w:t>an explicit research</w:t>
      </w:r>
      <w:proofErr w:type="gramEnd"/>
      <w:r w:rsidRPr="00B84BA6">
        <w:rPr>
          <w:rFonts w:ascii="Times New Roman" w:hAnsi="Times New Roman" w:cs="Times New Roman"/>
          <w:sz w:val="24"/>
          <w:szCs w:val="24"/>
          <w:lang w:val="en-ZW"/>
        </w:rPr>
        <w:t xml:space="preserve"> finding and became the subject of controlled follow-up experimentation.</w:t>
      </w:r>
    </w:p>
    <w:p w14:paraId="2428B887" w14:textId="77777777" w:rsidR="00283FB4" w:rsidRDefault="00283FB4" w:rsidP="00B84BA6">
      <w:pPr>
        <w:spacing w:line="360" w:lineRule="auto"/>
        <w:jc w:val="both"/>
        <w:rPr>
          <w:rFonts w:ascii="Times New Roman" w:hAnsi="Times New Roman" w:cs="Times New Roman"/>
          <w:b/>
          <w:bCs/>
          <w:sz w:val="24"/>
          <w:szCs w:val="24"/>
          <w:lang w:val="en-ZW"/>
        </w:rPr>
      </w:pPr>
    </w:p>
    <w:p w14:paraId="55B10F99" w14:textId="2D294AD6"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4.13 Discussion of Wallet/Transaction-Network Performance</w:t>
      </w:r>
    </w:p>
    <w:p w14:paraId="04B0503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Wallet/transaction-network behaviour produced the strongest suspicious-pattern recall among the three behavioural dimensions.</w:t>
      </w:r>
    </w:p>
    <w:p w14:paraId="7B01D55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Final-test recall was 70.0%, while independent recall increased to 74.3%. The relative consistency of these results indicated that the network-related features captured useful distinctions between normal and suspicious synthetic behaviour.</w:t>
      </w:r>
    </w:p>
    <w:p w14:paraId="1061A35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network feature group represented inbound and outbound counterparties, counterparty concentration, new and repeated receivers, reciprocal flow, counterparty-set changes, pass-through behaviour and shared-counterparty concentration.</w:t>
      </w:r>
    </w:p>
    <w:p w14:paraId="0CC4713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These results supported the decision to incorporate relational transaction information rather than analysing each transfer only as an isolated event. Previous AML research has also shown the importance of transaction history and relationships in suspicious-activity analysis [5], [19]. </w:t>
      </w:r>
    </w:p>
    <w:p w14:paraId="6738035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system did not implement a graph neural network. Consequently, the findings should not be interpreted as evidence that the selected tabular representation was superior to graph-based AML techniques. Such a comparison was outside the scope of the study.</w:t>
      </w:r>
    </w:p>
    <w:p w14:paraId="2C05363D" w14:textId="77777777" w:rsidR="00EE6621" w:rsidRDefault="00EE6621" w:rsidP="00B84BA6">
      <w:pPr>
        <w:spacing w:line="360" w:lineRule="auto"/>
        <w:jc w:val="both"/>
        <w:rPr>
          <w:rFonts w:ascii="Times New Roman" w:hAnsi="Times New Roman" w:cs="Times New Roman"/>
          <w:b/>
          <w:bCs/>
          <w:sz w:val="24"/>
          <w:szCs w:val="24"/>
          <w:lang w:val="en-ZW"/>
        </w:rPr>
      </w:pPr>
    </w:p>
    <w:p w14:paraId="6AE477C4" w14:textId="4B7A4065"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4.14 Discussion of Agent Behaviour Performance</w:t>
      </w:r>
    </w:p>
    <w:p w14:paraId="59D39AA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 behaviour achieved suspicious recall of 61.3% on the final-test population and 58.8% on the independent population.</w:t>
      </w:r>
    </w:p>
    <w:p w14:paraId="25DFF93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comparatively similar results indicated that the fourteen agent features retained useful discriminatory information when applied to an unseen synthetic agent population.</w:t>
      </w:r>
    </w:p>
    <w:p w14:paraId="1C688DF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agent feature group represented transaction frequency, transaction value, number of wallets served, wallet concentration, repeated-wallet behaviour, inbound/outbound flow, high-value activity, hourly deviations and burst behaviour.</w:t>
      </w:r>
    </w:p>
    <w:p w14:paraId="721A440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methodology intentionally avoided treating high agent activity alone as proof of suspicious behaviour. Instead, the model considered several aspects of historical activity simultaneously.</w:t>
      </w:r>
    </w:p>
    <w:p w14:paraId="74B05C1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results demonstrated useful agent-pattern detection within the controlled research environment. However, operational mobile-money agent behaviour may be influenced by legitimate factors that were not fully represented in the synthetic dataset, including location, customer density, liquidity requirements, working hours and seasonal activity. Operational validation would therefore be required before interpreting the synthetic results as representative of real agent networks.</w:t>
      </w:r>
    </w:p>
    <w:p w14:paraId="65FEBCD6" w14:textId="77777777" w:rsidR="00EE6621" w:rsidRDefault="00EE6621" w:rsidP="00B84BA6">
      <w:pPr>
        <w:spacing w:line="360" w:lineRule="auto"/>
        <w:jc w:val="both"/>
        <w:rPr>
          <w:rFonts w:ascii="Times New Roman" w:hAnsi="Times New Roman" w:cs="Times New Roman"/>
          <w:b/>
          <w:bCs/>
          <w:sz w:val="24"/>
          <w:szCs w:val="24"/>
          <w:lang w:val="en-ZW"/>
        </w:rPr>
      </w:pPr>
    </w:p>
    <w:p w14:paraId="2CCABEBF" w14:textId="5EFE89F1"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 xml:space="preserve">4.15 Controlled </w:t>
      </w:r>
      <w:proofErr w:type="spellStart"/>
      <w:r w:rsidRPr="00B84BA6">
        <w:rPr>
          <w:rFonts w:ascii="Times New Roman" w:hAnsi="Times New Roman" w:cs="Times New Roman"/>
          <w:b/>
          <w:bCs/>
          <w:sz w:val="24"/>
          <w:szCs w:val="24"/>
          <w:lang w:val="en-ZW"/>
        </w:rPr>
        <w:t>XGBoost</w:t>
      </w:r>
      <w:proofErr w:type="spellEnd"/>
      <w:r w:rsidRPr="00B84BA6">
        <w:rPr>
          <w:rFonts w:ascii="Times New Roman" w:hAnsi="Times New Roman" w:cs="Times New Roman"/>
          <w:b/>
          <w:bCs/>
          <w:sz w:val="24"/>
          <w:szCs w:val="24"/>
          <w:lang w:val="en-ZW"/>
        </w:rPr>
        <w:t xml:space="preserve"> Experiment</w:t>
      </w:r>
    </w:p>
    <w:p w14:paraId="790462C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After establishment of the official Gradient Boosting classifier, a controlled </w:t>
      </w:r>
      <w:proofErr w:type="spellStart"/>
      <w:r w:rsidRPr="00B84BA6">
        <w:rPr>
          <w:rFonts w:ascii="Times New Roman" w:hAnsi="Times New Roman" w:cs="Times New Roman"/>
          <w:sz w:val="24"/>
          <w:szCs w:val="24"/>
          <w:lang w:val="en-ZW"/>
        </w:rPr>
        <w:t>XGBoost</w:t>
      </w:r>
      <w:proofErr w:type="spellEnd"/>
      <w:r w:rsidRPr="00B84BA6">
        <w:rPr>
          <w:rFonts w:ascii="Times New Roman" w:hAnsi="Times New Roman" w:cs="Times New Roman"/>
          <w:sz w:val="24"/>
          <w:szCs w:val="24"/>
          <w:lang w:val="en-ZW"/>
        </w:rPr>
        <w:t xml:space="preserve"> experiment was conducted to investigate whether a different boosting implementation could provide a meaningful improvement.</w:t>
      </w:r>
    </w:p>
    <w:p w14:paraId="384D56E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experiment did not demonstrate sufficiently consistent improvement on the independent-evaluation population to justify replacing the frozen Gradient Boosting classifier.</w:t>
      </w:r>
    </w:p>
    <w:p w14:paraId="0A0B151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This finding was important because model complexity alone was not treated as evidence of superiority. The model-selection process required improved performance under the controlled evaluation methodology.</w:t>
      </w:r>
    </w:p>
    <w:p w14:paraId="6635BA6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official Stage 14 Gradient Boosting classifier therefore remained the final model.</w:t>
      </w:r>
    </w:p>
    <w:p w14:paraId="52F76284" w14:textId="77777777" w:rsidR="005F6D2C" w:rsidRDefault="005F6D2C" w:rsidP="00B84BA6">
      <w:pPr>
        <w:spacing w:line="360" w:lineRule="auto"/>
        <w:jc w:val="both"/>
        <w:rPr>
          <w:rFonts w:ascii="Times New Roman" w:hAnsi="Times New Roman" w:cs="Times New Roman"/>
          <w:b/>
          <w:bCs/>
          <w:sz w:val="24"/>
          <w:szCs w:val="24"/>
          <w:lang w:val="en-ZW"/>
        </w:rPr>
      </w:pPr>
    </w:p>
    <w:p w14:paraId="363DA69D" w14:textId="10817F25"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4.16 Structuring Diagnostic and 34-Feature Experiment</w:t>
      </w:r>
    </w:p>
    <w:p w14:paraId="762DA5A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Following identification of weak structuring recall, a controlled diagnostic investigation was performed.</w:t>
      </w:r>
    </w:p>
    <w:p w14:paraId="503908F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diagnostic indicated that the original six structuring features did not provide sufficient separation for some of the more difficult structuring scenarios. Four additional experimental features were therefore introduced, producing an experimental 34-feature architecture.</w:t>
      </w:r>
    </w:p>
    <w:p w14:paraId="37195A4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expanded architecture was compared with the frozen 30-feature baseline.</w:t>
      </w:r>
    </w:p>
    <w:p w14:paraId="62A8FCE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34-feature experiment produced a small improvement in one overall independent Macro F1 measure. However, it reduced suspicious recall, did not produce the required improvement in structuring detection and reduced performance in some other behavioural areas.</w:t>
      </w:r>
    </w:p>
    <w:p w14:paraId="07FB231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four additional features were therefore rejected.</w:t>
      </w:r>
    </w:p>
    <w:p w14:paraId="487D851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This result demonstrated that increasing feature count did not automatically improve the intended detection capability. The final system retained the original 30-feature architecture because the experimental expansion did not provide sufficient evidence of a meaningful improvement.</w:t>
      </w:r>
    </w:p>
    <w:p w14:paraId="1267A07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4.6 HERE]</w:t>
      </w:r>
    </w:p>
    <w:p w14:paraId="2C84D32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Figure 4.6: Controlled Model and Feature Experiment Decision Process</w:t>
      </w:r>
    </w:p>
    <w:p w14:paraId="34E33C83" w14:textId="77777777" w:rsidR="005F6D2C" w:rsidRDefault="005F6D2C" w:rsidP="00B84BA6">
      <w:pPr>
        <w:spacing w:line="360" w:lineRule="auto"/>
        <w:jc w:val="both"/>
        <w:rPr>
          <w:rFonts w:ascii="Times New Roman" w:hAnsi="Times New Roman" w:cs="Times New Roman"/>
          <w:b/>
          <w:bCs/>
          <w:sz w:val="24"/>
          <w:szCs w:val="24"/>
          <w:lang w:val="en-ZW"/>
        </w:rPr>
      </w:pPr>
    </w:p>
    <w:p w14:paraId="7EA51651" w14:textId="778B4501"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4.17 Final Model Selection</w:t>
      </w:r>
    </w:p>
    <w:p w14:paraId="1E56268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Following completion of the controlled experiments, the final frozen machine-learning configuration remained as shown in Table 4.10.</w:t>
      </w:r>
    </w:p>
    <w:p w14:paraId="549A6760" w14:textId="77777777" w:rsidR="005F6D2C" w:rsidRDefault="005F6D2C" w:rsidP="00B84BA6">
      <w:pPr>
        <w:spacing w:line="360" w:lineRule="auto"/>
        <w:jc w:val="both"/>
        <w:rPr>
          <w:rFonts w:ascii="Times New Roman" w:hAnsi="Times New Roman" w:cs="Times New Roman"/>
          <w:sz w:val="24"/>
          <w:szCs w:val="24"/>
          <w:lang w:val="en-ZW"/>
        </w:rPr>
      </w:pPr>
    </w:p>
    <w:p w14:paraId="6A0FC6C0" w14:textId="0C953EE4"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Table 4.10: Final Frozen Machine-Learning 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5"/>
        <w:gridCol w:w="2842"/>
      </w:tblGrid>
      <w:tr w:rsidR="00B84BA6" w:rsidRPr="00B84BA6" w14:paraId="57A43933" w14:textId="77777777" w:rsidTr="003D2558">
        <w:trPr>
          <w:tblHeader/>
          <w:tblCellSpacing w:w="15" w:type="dxa"/>
        </w:trPr>
        <w:tc>
          <w:tcPr>
            <w:tcW w:w="0" w:type="auto"/>
            <w:vAlign w:val="center"/>
            <w:hideMark/>
          </w:tcPr>
          <w:p w14:paraId="7A48B42D"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Component</w:t>
            </w:r>
          </w:p>
        </w:tc>
        <w:tc>
          <w:tcPr>
            <w:tcW w:w="0" w:type="auto"/>
            <w:vAlign w:val="center"/>
            <w:hideMark/>
          </w:tcPr>
          <w:p w14:paraId="523508EC"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Final Selection</w:t>
            </w:r>
          </w:p>
        </w:tc>
      </w:tr>
      <w:tr w:rsidR="00B84BA6" w:rsidRPr="00B84BA6" w14:paraId="1728D6D2" w14:textId="77777777" w:rsidTr="003D2558">
        <w:trPr>
          <w:tblCellSpacing w:w="15" w:type="dxa"/>
        </w:trPr>
        <w:tc>
          <w:tcPr>
            <w:tcW w:w="0" w:type="auto"/>
            <w:vAlign w:val="center"/>
            <w:hideMark/>
          </w:tcPr>
          <w:p w14:paraId="52332FD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Model</w:t>
            </w:r>
          </w:p>
        </w:tc>
        <w:tc>
          <w:tcPr>
            <w:tcW w:w="0" w:type="auto"/>
            <w:vAlign w:val="center"/>
            <w:hideMark/>
          </w:tcPr>
          <w:p w14:paraId="10BF54E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Gradient Boosting Classifier</w:t>
            </w:r>
          </w:p>
        </w:tc>
      </w:tr>
      <w:tr w:rsidR="00B84BA6" w:rsidRPr="00B84BA6" w14:paraId="0D99426E" w14:textId="77777777" w:rsidTr="003D2558">
        <w:trPr>
          <w:tblCellSpacing w:w="15" w:type="dxa"/>
        </w:trPr>
        <w:tc>
          <w:tcPr>
            <w:tcW w:w="0" w:type="auto"/>
            <w:vAlign w:val="center"/>
            <w:hideMark/>
          </w:tcPr>
          <w:p w14:paraId="14C5F2E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Input features</w:t>
            </w:r>
          </w:p>
        </w:tc>
        <w:tc>
          <w:tcPr>
            <w:tcW w:w="0" w:type="auto"/>
            <w:vAlign w:val="center"/>
            <w:hideMark/>
          </w:tcPr>
          <w:p w14:paraId="0904861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30</w:t>
            </w:r>
          </w:p>
        </w:tc>
      </w:tr>
      <w:tr w:rsidR="00B84BA6" w:rsidRPr="00B84BA6" w14:paraId="1835320C" w14:textId="77777777" w:rsidTr="003D2558">
        <w:trPr>
          <w:tblCellSpacing w:w="15" w:type="dxa"/>
        </w:trPr>
        <w:tc>
          <w:tcPr>
            <w:tcW w:w="0" w:type="auto"/>
            <w:vAlign w:val="center"/>
            <w:hideMark/>
          </w:tcPr>
          <w:p w14:paraId="4B96252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Structuring features</w:t>
            </w:r>
          </w:p>
        </w:tc>
        <w:tc>
          <w:tcPr>
            <w:tcW w:w="0" w:type="auto"/>
            <w:vAlign w:val="center"/>
            <w:hideMark/>
          </w:tcPr>
          <w:p w14:paraId="5A1CA6B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6</w:t>
            </w:r>
          </w:p>
        </w:tc>
      </w:tr>
      <w:tr w:rsidR="00B84BA6" w:rsidRPr="00B84BA6" w14:paraId="1929AC07" w14:textId="77777777" w:rsidTr="003D2558">
        <w:trPr>
          <w:tblCellSpacing w:w="15" w:type="dxa"/>
        </w:trPr>
        <w:tc>
          <w:tcPr>
            <w:tcW w:w="0" w:type="auto"/>
            <w:vAlign w:val="center"/>
            <w:hideMark/>
          </w:tcPr>
          <w:p w14:paraId="4BCDAF3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Wallet/network features</w:t>
            </w:r>
          </w:p>
        </w:tc>
        <w:tc>
          <w:tcPr>
            <w:tcW w:w="0" w:type="auto"/>
            <w:vAlign w:val="center"/>
            <w:hideMark/>
          </w:tcPr>
          <w:p w14:paraId="2CC83F1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10</w:t>
            </w:r>
          </w:p>
        </w:tc>
      </w:tr>
      <w:tr w:rsidR="00B84BA6" w:rsidRPr="00B84BA6" w14:paraId="35B22976" w14:textId="77777777" w:rsidTr="003D2558">
        <w:trPr>
          <w:tblCellSpacing w:w="15" w:type="dxa"/>
        </w:trPr>
        <w:tc>
          <w:tcPr>
            <w:tcW w:w="0" w:type="auto"/>
            <w:vAlign w:val="center"/>
            <w:hideMark/>
          </w:tcPr>
          <w:p w14:paraId="6EB94B6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Agent features</w:t>
            </w:r>
          </w:p>
        </w:tc>
        <w:tc>
          <w:tcPr>
            <w:tcW w:w="0" w:type="auto"/>
            <w:vAlign w:val="center"/>
            <w:hideMark/>
          </w:tcPr>
          <w:p w14:paraId="558DA2F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14</w:t>
            </w:r>
          </w:p>
        </w:tc>
      </w:tr>
      <w:tr w:rsidR="00B84BA6" w:rsidRPr="00B84BA6" w14:paraId="748215A7" w14:textId="77777777" w:rsidTr="003D2558">
        <w:trPr>
          <w:tblCellSpacing w:w="15" w:type="dxa"/>
        </w:trPr>
        <w:tc>
          <w:tcPr>
            <w:tcW w:w="0" w:type="auto"/>
            <w:vAlign w:val="center"/>
            <w:hideMark/>
          </w:tcPr>
          <w:p w14:paraId="0EED692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Number of estimators</w:t>
            </w:r>
          </w:p>
        </w:tc>
        <w:tc>
          <w:tcPr>
            <w:tcW w:w="0" w:type="auto"/>
            <w:vAlign w:val="center"/>
            <w:hideMark/>
          </w:tcPr>
          <w:p w14:paraId="44E7325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200</w:t>
            </w:r>
          </w:p>
        </w:tc>
      </w:tr>
      <w:tr w:rsidR="00B84BA6" w:rsidRPr="00B84BA6" w14:paraId="51666026" w14:textId="77777777" w:rsidTr="003D2558">
        <w:trPr>
          <w:tblCellSpacing w:w="15" w:type="dxa"/>
        </w:trPr>
        <w:tc>
          <w:tcPr>
            <w:tcW w:w="0" w:type="auto"/>
            <w:vAlign w:val="center"/>
            <w:hideMark/>
          </w:tcPr>
          <w:p w14:paraId="3D85AB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Learning rate</w:t>
            </w:r>
          </w:p>
        </w:tc>
        <w:tc>
          <w:tcPr>
            <w:tcW w:w="0" w:type="auto"/>
            <w:vAlign w:val="center"/>
            <w:hideMark/>
          </w:tcPr>
          <w:p w14:paraId="4C1B610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0.1</w:t>
            </w:r>
          </w:p>
        </w:tc>
      </w:tr>
      <w:tr w:rsidR="00B84BA6" w:rsidRPr="00B84BA6" w14:paraId="6D5890F5" w14:textId="77777777" w:rsidTr="003D2558">
        <w:trPr>
          <w:tblCellSpacing w:w="15" w:type="dxa"/>
        </w:trPr>
        <w:tc>
          <w:tcPr>
            <w:tcW w:w="0" w:type="auto"/>
            <w:vAlign w:val="center"/>
            <w:hideMark/>
          </w:tcPr>
          <w:p w14:paraId="5F836F6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Maximum depth</w:t>
            </w:r>
          </w:p>
        </w:tc>
        <w:tc>
          <w:tcPr>
            <w:tcW w:w="0" w:type="auto"/>
            <w:vAlign w:val="center"/>
            <w:hideMark/>
          </w:tcPr>
          <w:p w14:paraId="5055242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3</w:t>
            </w:r>
          </w:p>
        </w:tc>
      </w:tr>
      <w:tr w:rsidR="00B84BA6" w:rsidRPr="00B84BA6" w14:paraId="003899E7" w14:textId="77777777" w:rsidTr="003D2558">
        <w:trPr>
          <w:tblCellSpacing w:w="15" w:type="dxa"/>
        </w:trPr>
        <w:tc>
          <w:tcPr>
            <w:tcW w:w="0" w:type="auto"/>
            <w:vAlign w:val="center"/>
            <w:hideMark/>
          </w:tcPr>
          <w:p w14:paraId="79BDE7F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Minimum samples per leaf</w:t>
            </w:r>
          </w:p>
        </w:tc>
        <w:tc>
          <w:tcPr>
            <w:tcW w:w="0" w:type="auto"/>
            <w:vAlign w:val="center"/>
            <w:hideMark/>
          </w:tcPr>
          <w:p w14:paraId="0578A40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2</w:t>
            </w:r>
          </w:p>
        </w:tc>
      </w:tr>
      <w:tr w:rsidR="00B84BA6" w:rsidRPr="00B84BA6" w14:paraId="1C949E65" w14:textId="77777777" w:rsidTr="003D2558">
        <w:trPr>
          <w:tblCellSpacing w:w="15" w:type="dxa"/>
        </w:trPr>
        <w:tc>
          <w:tcPr>
            <w:tcW w:w="0" w:type="auto"/>
            <w:vAlign w:val="center"/>
            <w:hideMark/>
          </w:tcPr>
          <w:p w14:paraId="1674D6B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Minimum samples to split</w:t>
            </w:r>
          </w:p>
        </w:tc>
        <w:tc>
          <w:tcPr>
            <w:tcW w:w="0" w:type="auto"/>
            <w:vAlign w:val="center"/>
            <w:hideMark/>
          </w:tcPr>
          <w:p w14:paraId="1B5EBD6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5</w:t>
            </w:r>
          </w:p>
        </w:tc>
      </w:tr>
      <w:tr w:rsidR="00B84BA6" w:rsidRPr="00B84BA6" w14:paraId="16EB7A6B" w14:textId="77777777" w:rsidTr="003D2558">
        <w:trPr>
          <w:tblCellSpacing w:w="15" w:type="dxa"/>
        </w:trPr>
        <w:tc>
          <w:tcPr>
            <w:tcW w:w="0" w:type="auto"/>
            <w:vAlign w:val="center"/>
            <w:hideMark/>
          </w:tcPr>
          <w:p w14:paraId="0C8D586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Random state</w:t>
            </w:r>
          </w:p>
        </w:tc>
        <w:tc>
          <w:tcPr>
            <w:tcW w:w="0" w:type="auto"/>
            <w:vAlign w:val="center"/>
            <w:hideMark/>
          </w:tcPr>
          <w:p w14:paraId="2585BE8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42</w:t>
            </w:r>
          </w:p>
        </w:tc>
      </w:tr>
      <w:tr w:rsidR="00B84BA6" w:rsidRPr="00B84BA6" w14:paraId="231EC48B" w14:textId="77777777" w:rsidTr="003D2558">
        <w:trPr>
          <w:tblCellSpacing w:w="15" w:type="dxa"/>
        </w:trPr>
        <w:tc>
          <w:tcPr>
            <w:tcW w:w="0" w:type="auto"/>
            <w:vAlign w:val="center"/>
            <w:hideMark/>
          </w:tcPr>
          <w:p w14:paraId="62C41CE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Decision threshold</w:t>
            </w:r>
          </w:p>
        </w:tc>
        <w:tc>
          <w:tcPr>
            <w:tcW w:w="0" w:type="auto"/>
            <w:vAlign w:val="center"/>
            <w:hideMark/>
          </w:tcPr>
          <w:p w14:paraId="1894E4E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0.35</w:t>
            </w:r>
          </w:p>
        </w:tc>
      </w:tr>
      <w:tr w:rsidR="00B84BA6" w:rsidRPr="00B84BA6" w14:paraId="7E634D52" w14:textId="77777777" w:rsidTr="003D2558">
        <w:trPr>
          <w:tblCellSpacing w:w="15" w:type="dxa"/>
        </w:trPr>
        <w:tc>
          <w:tcPr>
            <w:tcW w:w="0" w:type="auto"/>
            <w:vAlign w:val="center"/>
            <w:hideMark/>
          </w:tcPr>
          <w:p w14:paraId="6E66D2A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Output</w:t>
            </w:r>
          </w:p>
        </w:tc>
        <w:tc>
          <w:tcPr>
            <w:tcW w:w="0" w:type="auto"/>
            <w:vAlign w:val="center"/>
            <w:hideMark/>
          </w:tcPr>
          <w:p w14:paraId="79AD09F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Normal / Suspicious Pattern</w:t>
            </w:r>
          </w:p>
        </w:tc>
      </w:tr>
    </w:tbl>
    <w:p w14:paraId="0D30657B" w14:textId="77777777" w:rsidR="009B361E" w:rsidRDefault="009B361E" w:rsidP="00B84BA6">
      <w:pPr>
        <w:spacing w:line="360" w:lineRule="auto"/>
        <w:jc w:val="both"/>
        <w:rPr>
          <w:rFonts w:ascii="Times New Roman" w:hAnsi="Times New Roman" w:cs="Times New Roman"/>
          <w:sz w:val="24"/>
          <w:szCs w:val="24"/>
          <w:lang w:val="en-ZW"/>
        </w:rPr>
      </w:pPr>
    </w:p>
    <w:p w14:paraId="429A3CD9" w14:textId="5E8E1E61"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final model represented the strongest supported configuration retained under the research methodology. This does not imply that Gradient Boosting is universally superior for mobile-money AML. The result applies specifically to the dataset, behavioural features and experimental conditions of this research.</w:t>
      </w:r>
    </w:p>
    <w:p w14:paraId="02DC7624" w14:textId="77777777" w:rsidR="009B361E" w:rsidRDefault="009B361E" w:rsidP="00B84BA6">
      <w:pPr>
        <w:spacing w:line="360" w:lineRule="auto"/>
        <w:jc w:val="both"/>
        <w:rPr>
          <w:rFonts w:ascii="Times New Roman" w:hAnsi="Times New Roman" w:cs="Times New Roman"/>
          <w:b/>
          <w:bCs/>
          <w:sz w:val="24"/>
          <w:szCs w:val="24"/>
          <w:lang w:val="en-ZW"/>
        </w:rPr>
      </w:pPr>
    </w:p>
    <w:p w14:paraId="321D26A0" w14:textId="14B1C4ED"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4.18 System Integration Results</w:t>
      </w:r>
    </w:p>
    <w:p w14:paraId="235FA12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Following completion of machine-learning development, the frozen Stage 13 behavioural feature service and Stage 14 classifier were integrated into the wider mobile-money AML application.</w:t>
      </w:r>
    </w:p>
    <w:p w14:paraId="26B5B3D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final processing sequence was:</w:t>
      </w:r>
    </w:p>
    <w:p w14:paraId="23C0860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Mobile-money transaction → validation → database persistence → historical behavioural feature extraction → frozen Gradient Boosting inference → application-level AML processing → alert and investigation workflow → real-time dashboard update.</w:t>
      </w:r>
    </w:p>
    <w:p w14:paraId="2BE1EB3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MySQL was used as the final integrated relational database.</w:t>
      </w:r>
    </w:p>
    <w:p w14:paraId="1508A94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feature service generated the exact 30-feature vector expected by the frozen model. The classifier generated a suspicious-pattern probability and binary classification using the fixed 0.35 operating threshold.</w:t>
      </w:r>
    </w:p>
    <w:p w14:paraId="08536AB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application maintained a distinction between machine-learning classification and human AML investigation. This was consistent with published AML machine-learning research in which models are used to prioritise financial transactions for manual investigation [19]. </w:t>
      </w:r>
    </w:p>
    <w:p w14:paraId="033147A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Real-time communication was implemented using Flask-</w:t>
      </w:r>
      <w:proofErr w:type="spellStart"/>
      <w:r w:rsidRPr="00B84BA6">
        <w:rPr>
          <w:rFonts w:ascii="Times New Roman" w:hAnsi="Times New Roman" w:cs="Times New Roman"/>
          <w:sz w:val="24"/>
          <w:szCs w:val="24"/>
          <w:lang w:val="en-ZW"/>
        </w:rPr>
        <w:t>SocketIO</w:t>
      </w:r>
      <w:proofErr w:type="spellEnd"/>
      <w:r w:rsidRPr="00B84BA6">
        <w:rPr>
          <w:rFonts w:ascii="Times New Roman" w:hAnsi="Times New Roman" w:cs="Times New Roman"/>
          <w:sz w:val="24"/>
          <w:szCs w:val="24"/>
          <w:lang w:val="en-ZW"/>
        </w:rPr>
        <w:t>/Socket.IO, enabling relevant transaction and alert events to be reflected on connected monitoring interfaces.</w:t>
      </w:r>
    </w:p>
    <w:p w14:paraId="2EC5DCE1" w14:textId="77777777" w:rsidR="009B361E" w:rsidRDefault="009B361E" w:rsidP="00B84BA6">
      <w:pPr>
        <w:spacing w:line="360" w:lineRule="auto"/>
        <w:jc w:val="both"/>
        <w:rPr>
          <w:rFonts w:ascii="Times New Roman" w:hAnsi="Times New Roman" w:cs="Times New Roman"/>
          <w:b/>
          <w:bCs/>
          <w:sz w:val="24"/>
          <w:szCs w:val="24"/>
          <w:lang w:val="en-ZW"/>
        </w:rPr>
      </w:pPr>
    </w:p>
    <w:p w14:paraId="14974184" w14:textId="5EAD05D6"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4.19 Functional and Integration Testing Results</w:t>
      </w:r>
    </w:p>
    <w:p w14:paraId="09B928F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Testing was performed to verify analytical and application-level behaviour.</w:t>
      </w:r>
    </w:p>
    <w:p w14:paraId="1F66600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feature-generation tests examined exact 30-feature output, correct feature names and ordering, current-transaction exclusion, future-transaction exclusion, deterministic equal-timestamp handling, wallet isolation, agent-history aggregation, cold-start handling, numerical safety and deterministic output.</w:t>
      </w:r>
    </w:p>
    <w:p w14:paraId="357FD36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model-service tests examined correct frozen-model loading, enforcement of the 30-feature input contract, suspicious-probability generation, correct application of the 0.35 threshold, normal classification below the threshold, suspicious classification at or above the threshold and rejection of malformed feature vectors.</w:t>
      </w:r>
    </w:p>
    <w:p w14:paraId="03DCDEF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Application integration testing covered Cash-In, Cash-Out and Wallet-to-Wallet transactions together with agent-linked transactions, normal predictions, suspicious predictions, cold-start conditions, alert handling, investigation processing and real-time Socket.IO updates.</w:t>
      </w:r>
    </w:p>
    <w:p w14:paraId="4B639D4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implemented integration checks passed within the controlled development environment.</w:t>
      </w:r>
    </w:p>
    <w:p w14:paraId="4796637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These tests demonstrated functional integration of the research prototype. They did not constitute certification for deployment in a live financial environment, where additional security, scalability, privacy, regulatory and operational testing would be required.</w:t>
      </w:r>
    </w:p>
    <w:p w14:paraId="53795E09" w14:textId="77777777" w:rsidR="009B361E" w:rsidRDefault="009B361E" w:rsidP="00B84BA6">
      <w:pPr>
        <w:spacing w:line="360" w:lineRule="auto"/>
        <w:jc w:val="both"/>
        <w:rPr>
          <w:rFonts w:ascii="Times New Roman" w:hAnsi="Times New Roman" w:cs="Times New Roman"/>
          <w:b/>
          <w:bCs/>
          <w:sz w:val="24"/>
          <w:szCs w:val="24"/>
          <w:lang w:val="en-ZW"/>
        </w:rPr>
      </w:pPr>
    </w:p>
    <w:p w14:paraId="6F71E966" w14:textId="77B77110"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4.20 System Interface Results</w:t>
      </w:r>
    </w:p>
    <w:p w14:paraId="0013D7D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completed system provided interfaces corresponding to the principal application roles.</w:t>
      </w:r>
    </w:p>
    <w:p w14:paraId="144CB25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Customers could register, authenticate and perform supported mobile-money transactions. Compliance personnel could access suspicious-activity information, review alerts, record investigation notes, assign or escalate investigations and resolve cases. Administrative functionality supported management of users, agents and research-system data.</w:t>
      </w:r>
    </w:p>
    <w:p w14:paraId="5D61AB6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dashboard displayed transaction activity, suspicious alerts and investigation information. Real-time communication enabled relevant changes to be reflected on connected monitoring interfaces.</w:t>
      </w:r>
    </w:p>
    <w:p w14:paraId="06F8D3E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4.7 HERE]</w:t>
      </w:r>
    </w:p>
    <w:p w14:paraId="12E6B5A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Figure 4.7: Main AML Monitoring Dashboard</w:t>
      </w:r>
    </w:p>
    <w:p w14:paraId="37D405B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[INSERT FIGURE 4.8 HERE]</w:t>
      </w:r>
    </w:p>
    <w:p w14:paraId="5BEAFCF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Figure 4.8: Suspicious Transaction Alert and Investigation Interface</w:t>
      </w:r>
    </w:p>
    <w:p w14:paraId="60F85DC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Figures 4.7 and 4.8 should use screenshots captured from the actual implemented system rather than generated illustrations because they provide evidence of the implemented application.</w:t>
      </w:r>
    </w:p>
    <w:p w14:paraId="5114DD80" w14:textId="77777777" w:rsidR="009B361E" w:rsidRDefault="009B361E" w:rsidP="00B84BA6">
      <w:pPr>
        <w:spacing w:line="360" w:lineRule="auto"/>
        <w:jc w:val="both"/>
        <w:rPr>
          <w:rFonts w:ascii="Times New Roman" w:hAnsi="Times New Roman" w:cs="Times New Roman"/>
          <w:b/>
          <w:bCs/>
          <w:sz w:val="24"/>
          <w:szCs w:val="24"/>
          <w:lang w:val="en-ZW"/>
        </w:rPr>
      </w:pPr>
    </w:p>
    <w:p w14:paraId="29A85197" w14:textId="77777777" w:rsidR="009B361E" w:rsidRDefault="009B361E" w:rsidP="00B84BA6">
      <w:pPr>
        <w:spacing w:line="360" w:lineRule="auto"/>
        <w:jc w:val="both"/>
        <w:rPr>
          <w:rFonts w:ascii="Times New Roman" w:hAnsi="Times New Roman" w:cs="Times New Roman"/>
          <w:b/>
          <w:bCs/>
          <w:sz w:val="24"/>
          <w:szCs w:val="24"/>
          <w:lang w:val="en-ZW"/>
        </w:rPr>
      </w:pPr>
    </w:p>
    <w:p w14:paraId="3331D23D" w14:textId="28824BF2"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4.21 Evaluation Against Research Objectives</w:t>
      </w:r>
    </w:p>
    <w:p w14:paraId="195B442E" w14:textId="77777777"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4.21.1 Objective 1: Real-Time Mobile-Money Transaction Processing and Monitoring</w:t>
      </w:r>
    </w:p>
    <w:p w14:paraId="5D53604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first objective was to design and implement a real-time mobile-money transaction processing and monitoring engine for processing Cash-In, Cash-Out and Wallet-to-Wallet transactions.</w:t>
      </w:r>
    </w:p>
    <w:p w14:paraId="62A0FC7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implemented application supported all three transaction categories. Transactions were validated, persisted in MySQL and made available to the behavioural-analysis and monitoring workflow. Socket.IO was used to provide real-time application updates.</w:t>
      </w:r>
    </w:p>
    <w:p w14:paraId="5501A942"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implemented functionality and integration testing demonstrated completion of the transaction-processing and monitoring functions specified by the first objective.</w:t>
      </w:r>
    </w:p>
    <w:p w14:paraId="52BFB2B2" w14:textId="77777777" w:rsidR="001C7AFF" w:rsidRDefault="001C7AFF" w:rsidP="00B84BA6">
      <w:pPr>
        <w:spacing w:line="360" w:lineRule="auto"/>
        <w:jc w:val="both"/>
        <w:rPr>
          <w:rFonts w:ascii="Times New Roman" w:hAnsi="Times New Roman" w:cs="Times New Roman"/>
          <w:b/>
          <w:bCs/>
          <w:sz w:val="24"/>
          <w:szCs w:val="24"/>
          <w:lang w:val="en-ZW"/>
        </w:rPr>
      </w:pPr>
    </w:p>
    <w:p w14:paraId="3BC72EE1" w14:textId="61D21014"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4.21.2 Objective 2: Behavioural Analysis</w:t>
      </w:r>
    </w:p>
    <w:p w14:paraId="635E48C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second objective was to design and implement behavioural analysis mechanisms for detecting structuring, wallet/transaction-network and agent behavioural patterns from mobile-money transaction activity.</w:t>
      </w:r>
    </w:p>
    <w:p w14:paraId="331AC85F"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final architecture contained exactly 30 historical features comprising six structuring, ten wallet/network and fourteen agent features.</w:t>
      </w:r>
    </w:p>
    <w:p w14:paraId="2585A25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All three intended behavioural dimensions were therefore represented in the implemented feature pipeline.</w:t>
      </w:r>
    </w:p>
    <w:p w14:paraId="12B144B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However, the evaluation showed that representation did not result in equal detection performance. Network and agent suspicious patterns were detected considerably more effectively than structuring patterns.</w:t>
      </w:r>
    </w:p>
    <w:p w14:paraId="35A6C06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objective was therefore achieved in terms of implementing the three intended behavioural-analysis mechanisms, while the experimental results identified an important performance limitation in structuring detection.</w:t>
      </w:r>
    </w:p>
    <w:p w14:paraId="1F7541AC" w14:textId="77777777" w:rsidR="00223776" w:rsidRDefault="00223776" w:rsidP="00B84BA6">
      <w:pPr>
        <w:spacing w:line="360" w:lineRule="auto"/>
        <w:jc w:val="both"/>
        <w:rPr>
          <w:rFonts w:ascii="Times New Roman" w:hAnsi="Times New Roman" w:cs="Times New Roman"/>
          <w:b/>
          <w:bCs/>
          <w:sz w:val="24"/>
          <w:szCs w:val="24"/>
          <w:lang w:val="en-ZW"/>
        </w:rPr>
      </w:pPr>
    </w:p>
    <w:p w14:paraId="720C0314" w14:textId="77777777" w:rsidR="00223776" w:rsidRDefault="00223776" w:rsidP="00B84BA6">
      <w:pPr>
        <w:spacing w:line="360" w:lineRule="auto"/>
        <w:jc w:val="both"/>
        <w:rPr>
          <w:rFonts w:ascii="Times New Roman" w:hAnsi="Times New Roman" w:cs="Times New Roman"/>
          <w:b/>
          <w:bCs/>
          <w:sz w:val="24"/>
          <w:szCs w:val="24"/>
          <w:lang w:val="en-ZW"/>
        </w:rPr>
      </w:pPr>
    </w:p>
    <w:p w14:paraId="59311786" w14:textId="70651CBA"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4.21.3 Objective 3: Machine-Learning Classification</w:t>
      </w:r>
    </w:p>
    <w:p w14:paraId="4B60482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third objective was to develop and integrate a machine-learning classification mechanism that used the identified behavioural features to classify mobile-money transactions as normal or suspicious patterns.</w:t>
      </w:r>
    </w:p>
    <w:p w14:paraId="47BD875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Logistic Regression, Random Forest and Gradient Boosting were evaluated. Gradient Boosting was selected and integrated as the final classifier.</w:t>
      </w:r>
    </w:p>
    <w:p w14:paraId="4CFD054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frozen classifier achieved a final-test Macro F1 of 0.7471 and an independent Macro F1 of 0.7245. Suspicious recall was 0.5206 and 0.5458 respectively.</w:t>
      </w:r>
    </w:p>
    <w:p w14:paraId="21BFEF8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classification mechanism was therefore successfully implemented and integrated. However, the results also demonstrated that suspicious-pattern detection remained imperfect.</w:t>
      </w:r>
    </w:p>
    <w:p w14:paraId="5B55B2A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This is consistent with wider AML machine-learning research, which treats automated detection as a challenging classification and prioritisation problem rather than assuming that models can perfectly determine money laundering [5], [19]. </w:t>
      </w:r>
    </w:p>
    <w:p w14:paraId="4C8E46C6" w14:textId="77777777" w:rsidR="00564D58" w:rsidRDefault="00564D58" w:rsidP="00B84BA6">
      <w:pPr>
        <w:spacing w:line="360" w:lineRule="auto"/>
        <w:jc w:val="both"/>
        <w:rPr>
          <w:rFonts w:ascii="Times New Roman" w:hAnsi="Times New Roman" w:cs="Times New Roman"/>
          <w:b/>
          <w:bCs/>
          <w:sz w:val="24"/>
          <w:szCs w:val="24"/>
          <w:lang w:val="en-ZW"/>
        </w:rPr>
      </w:pPr>
    </w:p>
    <w:p w14:paraId="01B2FCD2" w14:textId="649BEADF"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4.21.4 Objective 4: AML Alert and Investigation Workflow</w:t>
      </w:r>
    </w:p>
    <w:p w14:paraId="4A99C37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fourth objective was to implement a real-time AML alert and investigation workflow that processed model detections and presented suspicious transaction information to authorised system users.</w:t>
      </w:r>
    </w:p>
    <w:p w14:paraId="07EC17B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final application incorporated model results into application-level AML processing. Alerts requiring investigation could be stored and presented to authorised compliance users.</w:t>
      </w:r>
    </w:p>
    <w:p w14:paraId="075627B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Compliance personnel could review transaction information, record investigation notes, assign cases, escalate investigations and resolve alerts.</w:t>
      </w:r>
    </w:p>
    <w:p w14:paraId="0F3E4A5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implemented workflow maintained human involvement in the AML decision process. This approach is supported by previous research in which machine-learning models prioritise potentially suspicious transactions for manual investigation [19]. </w:t>
      </w:r>
    </w:p>
    <w:p w14:paraId="1569965E" w14:textId="77777777" w:rsidR="009C72E0" w:rsidRDefault="009C72E0" w:rsidP="00B84BA6">
      <w:pPr>
        <w:spacing w:line="360" w:lineRule="auto"/>
        <w:jc w:val="both"/>
        <w:rPr>
          <w:rFonts w:ascii="Times New Roman" w:hAnsi="Times New Roman" w:cs="Times New Roman"/>
          <w:b/>
          <w:bCs/>
          <w:sz w:val="24"/>
          <w:szCs w:val="24"/>
          <w:lang w:val="en-ZW"/>
        </w:rPr>
      </w:pPr>
    </w:p>
    <w:p w14:paraId="63B76BB5" w14:textId="4B765361"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lastRenderedPageBreak/>
        <w:t>4.21.5 Objective 5: Real-Time AML Dashboard</w:t>
      </w:r>
    </w:p>
    <w:p w14:paraId="0EABF91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fifth objective was to implement a system dashboard for displaying real-time transaction activity, suspicious transaction alerts and investigation information to support AML monitoring.</w:t>
      </w:r>
    </w:p>
    <w:p w14:paraId="768098C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application included browser-based monitoring interfaces and used Flask-SocketIO/Socket.IO for real-time communication.</w:t>
      </w:r>
    </w:p>
    <w:p w14:paraId="3E7158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Transaction, alert and investigation information could therefore be presented to authorised users within the integrated system.</w:t>
      </w:r>
    </w:p>
    <w:p w14:paraId="1D672EA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implemented application consequently provided the dashboard functionality specified by the fifth objective.</w:t>
      </w:r>
    </w:p>
    <w:p w14:paraId="0145342F" w14:textId="77777777" w:rsidR="00950092" w:rsidRDefault="00950092" w:rsidP="00B84BA6">
      <w:pPr>
        <w:spacing w:line="360" w:lineRule="auto"/>
        <w:jc w:val="both"/>
        <w:rPr>
          <w:rFonts w:ascii="Times New Roman" w:hAnsi="Times New Roman" w:cs="Times New Roman"/>
          <w:b/>
          <w:bCs/>
          <w:sz w:val="24"/>
          <w:szCs w:val="24"/>
          <w:lang w:val="en-ZW"/>
        </w:rPr>
      </w:pPr>
    </w:p>
    <w:p w14:paraId="1A7548CF" w14:textId="0900DDAF"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4.22 Discussion of the Overall Findings</w:t>
      </w:r>
    </w:p>
    <w:p w14:paraId="2076F10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results demonstrated that the developed system integrated mobile-money transaction processing, historical behavioural analysis, supervised machine-learning classification, AML alert handling, investigation functionality and real-time monitoring within one research prototype.</w:t>
      </w:r>
    </w:p>
    <w:p w14:paraId="0E08C25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One of the most important findings was the difference between overall accuracy and suspicious-pattern performance. Final-test accuracy was 0.8984, while suspicious recall was 0.5206. The class imbalance therefore made accuracy alone an inadequate representation of the system's suspicious-pattern detection capability. This concern is consistent with AML machine-learning literature, where class imbalance and limited suspicious examples complicate model evaluation [5]. </w:t>
      </w:r>
    </w:p>
    <w:p w14:paraId="0113D9E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independent population produced almost unchanged Balanced Accuracy but lower suspicious precision. This indicated that the classifier retained useful discrimination on another unseen synthetic population while generating proportionally more false positives.</w:t>
      </w:r>
    </w:p>
    <w:p w14:paraId="719A132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Domain-specific evaluation provided further insight. Network suspicious patterns produced the strongest recall, followed by agent behaviour, while structuring remained substantially weaker. This finding demonstrated the value of evaluating AML classifiers below the aggregate metric level because a single overall score could conceal poor performance on one important suspicious-behaviour category.</w:t>
      </w:r>
    </w:p>
    <w:p w14:paraId="3EDEBD6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 xml:space="preserve">The controlled experiments further demonstrated that greater model or feature complexity did not automatically improve performance. </w:t>
      </w:r>
      <w:proofErr w:type="spellStart"/>
      <w:r w:rsidRPr="00B84BA6">
        <w:rPr>
          <w:rFonts w:ascii="Times New Roman" w:hAnsi="Times New Roman" w:cs="Times New Roman"/>
          <w:sz w:val="24"/>
          <w:szCs w:val="24"/>
          <w:lang w:val="en-ZW"/>
        </w:rPr>
        <w:t>XGBoost</w:t>
      </w:r>
      <w:proofErr w:type="spellEnd"/>
      <w:r w:rsidRPr="00B84BA6">
        <w:rPr>
          <w:rFonts w:ascii="Times New Roman" w:hAnsi="Times New Roman" w:cs="Times New Roman"/>
          <w:sz w:val="24"/>
          <w:szCs w:val="24"/>
          <w:lang w:val="en-ZW"/>
        </w:rPr>
        <w:t xml:space="preserve"> did not provide sufficient evidence to replace the official classifier, while the 34-feature experiment failed to solve the structuring weakness.</w:t>
      </w:r>
    </w:p>
    <w:p w14:paraId="0214066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Time-aware processing was also an important part of the resulting system. Published research has shown that AML monitoring should consider not only prediction accuracy but also when alerts are produced and what historical information was available at the time [6]. The prior-only feature construction adopted in this project addressed this issue by preventing future transactions from influencing earlier classifications. </w:t>
      </w:r>
    </w:p>
    <w:p w14:paraId="5545B6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findings therefore support the system's intended role as a decision-support research prototype while also demonstrating significant areas requiring further improvement.</w:t>
      </w:r>
    </w:p>
    <w:p w14:paraId="3F9F7AF7" w14:textId="77777777" w:rsidR="00950092" w:rsidRDefault="00950092" w:rsidP="00B84BA6">
      <w:pPr>
        <w:spacing w:line="360" w:lineRule="auto"/>
        <w:jc w:val="both"/>
        <w:rPr>
          <w:rFonts w:ascii="Times New Roman" w:hAnsi="Times New Roman" w:cs="Times New Roman"/>
          <w:b/>
          <w:bCs/>
          <w:sz w:val="24"/>
          <w:szCs w:val="24"/>
          <w:lang w:val="en-ZW"/>
        </w:rPr>
      </w:pPr>
    </w:p>
    <w:p w14:paraId="6E815CE3" w14:textId="56EF9121"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4.23 Research Contribution</w:t>
      </w:r>
    </w:p>
    <w:p w14:paraId="73D55F9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principal contribution of the research was not the development of a system capable of proving that money laundering had occurred. Instead, the project demonstrated an integrated methodology for combining structuring, wallet/transaction-network and agent behavioural analysis within a real-time mobile-money AML decision-support prototype.</w:t>
      </w:r>
    </w:p>
    <w:p w14:paraId="5BC0BF5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research combined historical behavioural features, temporally safe feature generation, entity-isolated evaluation, supervised suspicious-pattern classification, alert and investigation functionality, and real-time monitoring.</w:t>
      </w:r>
    </w:p>
    <w:p w14:paraId="0C79D303"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approach also maintained independent synthetic ground truth rather than generating the target directly from application rules or risk scores. This separation reduced the risk of developing a classifier that simply reproduced predetermined rules.</w:t>
      </w:r>
    </w:p>
    <w:p w14:paraId="38A0E27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The use of synthetic data was consistent with the need for alternative AML research datasets where real transaction records and complete laundering labels are difficult to obtain [5], [7]. Altman et al. specifically demonstrated how synthetic financial transaction datasets can provide complete known ground truth for controlled AML model comparison [7]. </w:t>
      </w:r>
    </w:p>
    <w:p w14:paraId="0F1D0145"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The project also provided a transparent account of model weaknesses. In particular, the low structuring recall demonstrated that an AML classifier can perform considerably better on some suspicious behavioural patterns than on others.</w:t>
      </w:r>
    </w:p>
    <w:p w14:paraId="7CC4E4B4" w14:textId="77777777" w:rsidR="00CD5DA5" w:rsidRDefault="00CD5DA5" w:rsidP="00B84BA6">
      <w:pPr>
        <w:spacing w:line="360" w:lineRule="auto"/>
        <w:jc w:val="both"/>
        <w:rPr>
          <w:rFonts w:ascii="Times New Roman" w:hAnsi="Times New Roman" w:cs="Times New Roman"/>
          <w:b/>
          <w:bCs/>
          <w:sz w:val="24"/>
          <w:szCs w:val="24"/>
          <w:lang w:val="en-ZW"/>
        </w:rPr>
      </w:pPr>
    </w:p>
    <w:p w14:paraId="66C66837" w14:textId="47D9775C"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4.24 Limitations of the Results</w:t>
      </w:r>
    </w:p>
    <w:p w14:paraId="6498F00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Several limitations affect interpretation of the reported results.</w:t>
      </w:r>
    </w:p>
    <w:p w14:paraId="5A3C310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First, the machine-learning experiments were based on synthetic mobile-money transactions. Synthetic data provide controlled labels and support reproducible AML experimentation, but generated transactions cannot fully reproduce the complexity of operational financial behaviour [7]. </w:t>
      </w:r>
    </w:p>
    <w:p w14:paraId="5231AB2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Second, the model was not evaluated using transactions obtained from a live Zimbabwean mobile-money operator. The reported metrics therefore represent performance within the research environment rather than validated operational performance.</w:t>
      </w:r>
    </w:p>
    <w:p w14:paraId="567F5680"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Third, suspicious recall remained moderate. Approximately 47.9% of suspicious examples in the final-test population and 45.4% in the independent population were not detected.</w:t>
      </w:r>
    </w:p>
    <w:p w14:paraId="6E263ED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Fourth, structuring detection was particularly weak. Recall remained below one third on both evaluation populations.</w:t>
      </w:r>
    </w:p>
    <w:p w14:paraId="4C45D63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Fifth, false positives remained present. In an operational system, these would contribute to investigator workload. The relationship between automated alerts and human review is important because AML machine-learning systems are generally intended to support prioritisation and investigation rather than make autonomous criminal determinations [19]. </w:t>
      </w:r>
    </w:p>
    <w:p w14:paraId="2E37A54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Sixth, transaction behaviour can change over time. A frozen model may therefore require monitoring and eventual retraining when the underlying transaction population changes.</w:t>
      </w:r>
    </w:p>
    <w:p w14:paraId="27CBFEC4"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Seventh, the classifier identified suspicious behavioural patterns and did not establish criminal intent or prove money laundering.</w:t>
      </w:r>
    </w:p>
    <w:p w14:paraId="57F96F9B"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Finally, the prototype was not connected to live external mobile-money, telecommunications, regulatory or identity-management infrastructure. Internal suspicious-activity reporting remained part of the research application rather than automated regulatory submission.</w:t>
      </w:r>
    </w:p>
    <w:p w14:paraId="6A712D49" w14:textId="77777777" w:rsidR="006259BA" w:rsidRDefault="006259BA" w:rsidP="00B84BA6">
      <w:pPr>
        <w:spacing w:line="360" w:lineRule="auto"/>
        <w:jc w:val="both"/>
        <w:rPr>
          <w:rFonts w:ascii="Times New Roman" w:hAnsi="Times New Roman" w:cs="Times New Roman"/>
          <w:b/>
          <w:bCs/>
          <w:sz w:val="24"/>
          <w:szCs w:val="24"/>
          <w:lang w:val="en-ZW"/>
        </w:rPr>
      </w:pPr>
    </w:p>
    <w:p w14:paraId="173B7550" w14:textId="056ABA13"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4.25 Summary</w:t>
      </w:r>
    </w:p>
    <w:p w14:paraId="5F10360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This chapter presented and discussed the results obtained from the mobile-money AML decision-support research prototype.</w:t>
      </w:r>
    </w:p>
    <w:p w14:paraId="0BF5C50C"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final dataset contained 100,000 transactions represented using 30 historical behavioural features. Logistic Regression, Random Forest and Gradient Boosting were evaluated, with Gradient Boosting selected as the final classifier. A decision threshold of 0.35 was established using validation data before the model was frozen.</w:t>
      </w:r>
    </w:p>
    <w:p w14:paraId="6E9525A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classifier achieved final-test accuracy of 0.8984, Macro F1 of 0.7471 and suspicious recall of 0.5206. On the independent population, accuracy was 0.8784, Macro F1 was 0.7245 and suspicious recall was 0.5458.</w:t>
      </w:r>
    </w:p>
    <w:p w14:paraId="6AD2CF76"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Domain-specific analysis revealed substantial variation. Wallet/transaction-network suspicious recall was 70.0% on the final test and 74.3% on the independent population. Agent recall was 61.3% and 58.8%, while structuring recall was substantially weaker at 24.8% and 30.8%.</w:t>
      </w:r>
    </w:p>
    <w:p w14:paraId="346DC081"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Controlled </w:t>
      </w:r>
      <w:proofErr w:type="spellStart"/>
      <w:r w:rsidRPr="00B84BA6">
        <w:rPr>
          <w:rFonts w:ascii="Times New Roman" w:hAnsi="Times New Roman" w:cs="Times New Roman"/>
          <w:sz w:val="24"/>
          <w:szCs w:val="24"/>
          <w:lang w:val="en-ZW"/>
        </w:rPr>
        <w:t>XGBoost</w:t>
      </w:r>
      <w:proofErr w:type="spellEnd"/>
      <w:r w:rsidRPr="00B84BA6">
        <w:rPr>
          <w:rFonts w:ascii="Times New Roman" w:hAnsi="Times New Roman" w:cs="Times New Roman"/>
          <w:sz w:val="24"/>
          <w:szCs w:val="24"/>
          <w:lang w:val="en-ZW"/>
        </w:rPr>
        <w:t xml:space="preserve"> and 34-feature experiments did not provide sufficient evidence to replace the frozen 30-feature Gradient Boosting classifier. This demonstrated that increasing model or feature complexity did not automatically improve the intended AML detection capability.</w:t>
      </w:r>
    </w:p>
    <w:p w14:paraId="717ED839"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The model was successfully integrated with mobile-money transaction processing, behavioural analysis, alerts, investigations and real-time monitoring. The system therefore implemented the five research objectives within the controlled research environment.</w:t>
      </w:r>
    </w:p>
    <w:p w14:paraId="2A39E7D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However, synthetic-data dependence, moderate suspicious recall, weak structuring detection and the absence of live operational validation remained important limitations. These limitations are consistent with wider challenges in AML machine-learning research relating to data availability, suspicious-behaviour detection and the need to connect analytical results with human investigation [5], [7], [19]. </w:t>
      </w:r>
    </w:p>
    <w:p w14:paraId="0A80C528"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lastRenderedPageBreak/>
        <w:t>Chapter 5 presents the conclusions drawn from the research, recommendations for improving the system and areas for future research.</w:t>
      </w:r>
    </w:p>
    <w:p w14:paraId="342E5447" w14:textId="77777777" w:rsidR="006259BA" w:rsidRDefault="006259BA" w:rsidP="00B84BA6">
      <w:pPr>
        <w:spacing w:line="360" w:lineRule="auto"/>
        <w:jc w:val="both"/>
        <w:rPr>
          <w:rFonts w:ascii="Times New Roman" w:hAnsi="Times New Roman" w:cs="Times New Roman"/>
          <w:b/>
          <w:bCs/>
          <w:sz w:val="24"/>
          <w:szCs w:val="24"/>
          <w:lang w:val="en-ZW"/>
        </w:rPr>
      </w:pPr>
    </w:p>
    <w:p w14:paraId="09184808" w14:textId="12E3472D" w:rsidR="00B84BA6" w:rsidRPr="00B84BA6" w:rsidRDefault="00B84BA6" w:rsidP="00B84BA6">
      <w:pPr>
        <w:spacing w:line="360" w:lineRule="auto"/>
        <w:jc w:val="both"/>
        <w:rPr>
          <w:rFonts w:ascii="Times New Roman" w:hAnsi="Times New Roman" w:cs="Times New Roman"/>
          <w:b/>
          <w:bCs/>
          <w:sz w:val="24"/>
          <w:szCs w:val="24"/>
          <w:lang w:val="en-ZW"/>
        </w:rPr>
      </w:pPr>
      <w:r w:rsidRPr="00B84BA6">
        <w:rPr>
          <w:rFonts w:ascii="Times New Roman" w:hAnsi="Times New Roman" w:cs="Times New Roman"/>
          <w:b/>
          <w:bCs/>
          <w:sz w:val="24"/>
          <w:szCs w:val="24"/>
          <w:lang w:val="en-ZW"/>
        </w:rPr>
        <w:t>References</w:t>
      </w:r>
    </w:p>
    <w:p w14:paraId="03900CBD"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References [1]</w:t>
      </w:r>
      <w:proofErr w:type="gramStart"/>
      <w:r w:rsidRPr="00B84BA6">
        <w:rPr>
          <w:rFonts w:ascii="Times New Roman" w:hAnsi="Times New Roman" w:cs="Times New Roman"/>
          <w:sz w:val="24"/>
          <w:szCs w:val="24"/>
          <w:lang w:val="en-ZW"/>
        </w:rPr>
        <w:t>–[</w:t>
      </w:r>
      <w:proofErr w:type="gramEnd"/>
      <w:r w:rsidRPr="00B84BA6">
        <w:rPr>
          <w:rFonts w:ascii="Times New Roman" w:hAnsi="Times New Roman" w:cs="Times New Roman"/>
          <w:sz w:val="24"/>
          <w:szCs w:val="24"/>
          <w:lang w:val="en-ZW"/>
        </w:rPr>
        <w:t>22] retain the numbering established in Chapters 1–3. No new literature source was required for Chapter 4; the chapter reused the following previously established references.</w:t>
      </w:r>
    </w:p>
    <w:p w14:paraId="48455A1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[5] R. I. T. Jensen and A. </w:t>
      </w:r>
      <w:proofErr w:type="spellStart"/>
      <w:r w:rsidRPr="00B84BA6">
        <w:rPr>
          <w:rFonts w:ascii="Times New Roman" w:hAnsi="Times New Roman" w:cs="Times New Roman"/>
          <w:sz w:val="24"/>
          <w:szCs w:val="24"/>
          <w:lang w:val="en-ZW"/>
        </w:rPr>
        <w:t>Iosifidis</w:t>
      </w:r>
      <w:proofErr w:type="spellEnd"/>
      <w:r w:rsidRPr="00B84BA6">
        <w:rPr>
          <w:rFonts w:ascii="Times New Roman" w:hAnsi="Times New Roman" w:cs="Times New Roman"/>
          <w:sz w:val="24"/>
          <w:szCs w:val="24"/>
          <w:lang w:val="en-ZW"/>
        </w:rPr>
        <w:t xml:space="preserve">, “Fighting money laundering with statistics and machine learning,” IEEE Access, vol. 11, pp. 8889–8903, 2023, </w:t>
      </w:r>
      <w:proofErr w:type="spellStart"/>
      <w:r w:rsidRPr="00B84BA6">
        <w:rPr>
          <w:rFonts w:ascii="Times New Roman" w:hAnsi="Times New Roman" w:cs="Times New Roman"/>
          <w:sz w:val="24"/>
          <w:szCs w:val="24"/>
          <w:lang w:val="en-ZW"/>
        </w:rPr>
        <w:t>doi</w:t>
      </w:r>
      <w:proofErr w:type="spellEnd"/>
      <w:r w:rsidRPr="00B84BA6">
        <w:rPr>
          <w:rFonts w:ascii="Times New Roman" w:hAnsi="Times New Roman" w:cs="Times New Roman"/>
          <w:sz w:val="24"/>
          <w:szCs w:val="24"/>
          <w:lang w:val="en-ZW"/>
        </w:rPr>
        <w:t>: 10.1109/ACCESS.2023.3239549.</w:t>
      </w:r>
    </w:p>
    <w:p w14:paraId="279F183A"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[6] P. </w:t>
      </w:r>
      <w:proofErr w:type="spellStart"/>
      <w:r w:rsidRPr="00B84BA6">
        <w:rPr>
          <w:rFonts w:ascii="Times New Roman" w:hAnsi="Times New Roman" w:cs="Times New Roman"/>
          <w:sz w:val="24"/>
          <w:szCs w:val="24"/>
          <w:lang w:val="en-ZW"/>
        </w:rPr>
        <w:t>Tertychnyi</w:t>
      </w:r>
      <w:proofErr w:type="spellEnd"/>
      <w:r w:rsidRPr="00B84BA6">
        <w:rPr>
          <w:rFonts w:ascii="Times New Roman" w:hAnsi="Times New Roman" w:cs="Times New Roman"/>
          <w:sz w:val="24"/>
          <w:szCs w:val="24"/>
          <w:lang w:val="en-ZW"/>
        </w:rPr>
        <w:t xml:space="preserve">, M. </w:t>
      </w:r>
      <w:proofErr w:type="spellStart"/>
      <w:r w:rsidRPr="00B84BA6">
        <w:rPr>
          <w:rFonts w:ascii="Times New Roman" w:hAnsi="Times New Roman" w:cs="Times New Roman"/>
          <w:sz w:val="24"/>
          <w:szCs w:val="24"/>
          <w:lang w:val="en-ZW"/>
        </w:rPr>
        <w:t>Godgildieva</w:t>
      </w:r>
      <w:proofErr w:type="spellEnd"/>
      <w:r w:rsidRPr="00B84BA6">
        <w:rPr>
          <w:rFonts w:ascii="Times New Roman" w:hAnsi="Times New Roman" w:cs="Times New Roman"/>
          <w:sz w:val="24"/>
          <w:szCs w:val="24"/>
          <w:lang w:val="en-ZW"/>
        </w:rPr>
        <w:t xml:space="preserve">, M. Dumas, and M. Ollikainen, “Time-aware and interpretable predictive monitoring system for Anti-Money Laundering,” Machine Learning with Applications, vol. 8, Art. no. 100306, 2022, </w:t>
      </w:r>
      <w:proofErr w:type="spellStart"/>
      <w:r w:rsidRPr="00B84BA6">
        <w:rPr>
          <w:rFonts w:ascii="Times New Roman" w:hAnsi="Times New Roman" w:cs="Times New Roman"/>
          <w:sz w:val="24"/>
          <w:szCs w:val="24"/>
          <w:lang w:val="en-ZW"/>
        </w:rPr>
        <w:t>doi</w:t>
      </w:r>
      <w:proofErr w:type="spellEnd"/>
      <w:r w:rsidRPr="00B84BA6">
        <w:rPr>
          <w:rFonts w:ascii="Times New Roman" w:hAnsi="Times New Roman" w:cs="Times New Roman"/>
          <w:sz w:val="24"/>
          <w:szCs w:val="24"/>
          <w:lang w:val="en-ZW"/>
        </w:rPr>
        <w:t>: 10.1016/j.mlwa.2022.100306.</w:t>
      </w:r>
    </w:p>
    <w:p w14:paraId="1D712F0E"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[7] E. R. Altman, J. </w:t>
      </w:r>
      <w:proofErr w:type="spellStart"/>
      <w:r w:rsidRPr="00B84BA6">
        <w:rPr>
          <w:rFonts w:ascii="Times New Roman" w:hAnsi="Times New Roman" w:cs="Times New Roman"/>
          <w:sz w:val="24"/>
          <w:szCs w:val="24"/>
          <w:lang w:val="en-ZW"/>
        </w:rPr>
        <w:t>Blanuša</w:t>
      </w:r>
      <w:proofErr w:type="spellEnd"/>
      <w:r w:rsidRPr="00B84BA6">
        <w:rPr>
          <w:rFonts w:ascii="Times New Roman" w:hAnsi="Times New Roman" w:cs="Times New Roman"/>
          <w:sz w:val="24"/>
          <w:szCs w:val="24"/>
          <w:lang w:val="en-ZW"/>
        </w:rPr>
        <w:t xml:space="preserve">, L. von </w:t>
      </w:r>
      <w:proofErr w:type="spellStart"/>
      <w:r w:rsidRPr="00B84BA6">
        <w:rPr>
          <w:rFonts w:ascii="Times New Roman" w:hAnsi="Times New Roman" w:cs="Times New Roman"/>
          <w:sz w:val="24"/>
          <w:szCs w:val="24"/>
          <w:lang w:val="en-ZW"/>
        </w:rPr>
        <w:t>Niederhäusern</w:t>
      </w:r>
      <w:proofErr w:type="spellEnd"/>
      <w:r w:rsidRPr="00B84BA6">
        <w:rPr>
          <w:rFonts w:ascii="Times New Roman" w:hAnsi="Times New Roman" w:cs="Times New Roman"/>
          <w:sz w:val="24"/>
          <w:szCs w:val="24"/>
          <w:lang w:val="en-ZW"/>
        </w:rPr>
        <w:t xml:space="preserve">, B. </w:t>
      </w:r>
      <w:proofErr w:type="spellStart"/>
      <w:r w:rsidRPr="00B84BA6">
        <w:rPr>
          <w:rFonts w:ascii="Times New Roman" w:hAnsi="Times New Roman" w:cs="Times New Roman"/>
          <w:sz w:val="24"/>
          <w:szCs w:val="24"/>
          <w:lang w:val="en-ZW"/>
        </w:rPr>
        <w:t>Egressy</w:t>
      </w:r>
      <w:proofErr w:type="spellEnd"/>
      <w:r w:rsidRPr="00B84BA6">
        <w:rPr>
          <w:rFonts w:ascii="Times New Roman" w:hAnsi="Times New Roman" w:cs="Times New Roman"/>
          <w:sz w:val="24"/>
          <w:szCs w:val="24"/>
          <w:lang w:val="en-ZW"/>
        </w:rPr>
        <w:t xml:space="preserve">, A. </w:t>
      </w:r>
      <w:proofErr w:type="spellStart"/>
      <w:r w:rsidRPr="00B84BA6">
        <w:rPr>
          <w:rFonts w:ascii="Times New Roman" w:hAnsi="Times New Roman" w:cs="Times New Roman"/>
          <w:sz w:val="24"/>
          <w:szCs w:val="24"/>
          <w:lang w:val="en-ZW"/>
        </w:rPr>
        <w:t>Anghel</w:t>
      </w:r>
      <w:proofErr w:type="spellEnd"/>
      <w:r w:rsidRPr="00B84BA6">
        <w:rPr>
          <w:rFonts w:ascii="Times New Roman" w:hAnsi="Times New Roman" w:cs="Times New Roman"/>
          <w:sz w:val="24"/>
          <w:szCs w:val="24"/>
          <w:lang w:val="en-ZW"/>
        </w:rPr>
        <w:t xml:space="preserve">, and K. </w:t>
      </w:r>
      <w:proofErr w:type="spellStart"/>
      <w:r w:rsidRPr="00B84BA6">
        <w:rPr>
          <w:rFonts w:ascii="Times New Roman" w:hAnsi="Times New Roman" w:cs="Times New Roman"/>
          <w:sz w:val="24"/>
          <w:szCs w:val="24"/>
          <w:lang w:val="en-ZW"/>
        </w:rPr>
        <w:t>Atasu</w:t>
      </w:r>
      <w:proofErr w:type="spellEnd"/>
      <w:r w:rsidRPr="00B84BA6">
        <w:rPr>
          <w:rFonts w:ascii="Times New Roman" w:hAnsi="Times New Roman" w:cs="Times New Roman"/>
          <w:sz w:val="24"/>
          <w:szCs w:val="24"/>
          <w:lang w:val="en-ZW"/>
        </w:rPr>
        <w:t>, “Realistic synthetic financial transactions for Anti-Money Laundering models,” in Advances in Neural Information Processing Systems, vol. 36, 2023.</w:t>
      </w:r>
    </w:p>
    <w:p w14:paraId="1A26F897" w14:textId="77777777" w:rsidR="00B84BA6" w:rsidRPr="00B84BA6" w:rsidRDefault="00B84BA6" w:rsidP="00B84BA6">
      <w:pPr>
        <w:spacing w:line="360" w:lineRule="auto"/>
        <w:jc w:val="both"/>
        <w:rPr>
          <w:rFonts w:ascii="Times New Roman" w:hAnsi="Times New Roman" w:cs="Times New Roman"/>
          <w:sz w:val="24"/>
          <w:szCs w:val="24"/>
          <w:lang w:val="en-ZW"/>
        </w:rPr>
      </w:pPr>
      <w:r w:rsidRPr="00B84BA6">
        <w:rPr>
          <w:rFonts w:ascii="Times New Roman" w:hAnsi="Times New Roman" w:cs="Times New Roman"/>
          <w:sz w:val="24"/>
          <w:szCs w:val="24"/>
          <w:lang w:val="en-ZW"/>
        </w:rPr>
        <w:t xml:space="preserve">[19] M. </w:t>
      </w:r>
      <w:proofErr w:type="spellStart"/>
      <w:r w:rsidRPr="00B84BA6">
        <w:rPr>
          <w:rFonts w:ascii="Times New Roman" w:hAnsi="Times New Roman" w:cs="Times New Roman"/>
          <w:sz w:val="24"/>
          <w:szCs w:val="24"/>
          <w:lang w:val="en-ZW"/>
        </w:rPr>
        <w:t>Jullum</w:t>
      </w:r>
      <w:proofErr w:type="spellEnd"/>
      <w:r w:rsidRPr="00B84BA6">
        <w:rPr>
          <w:rFonts w:ascii="Times New Roman" w:hAnsi="Times New Roman" w:cs="Times New Roman"/>
          <w:sz w:val="24"/>
          <w:szCs w:val="24"/>
          <w:lang w:val="en-ZW"/>
        </w:rPr>
        <w:t xml:space="preserve">, A. </w:t>
      </w:r>
      <w:proofErr w:type="spellStart"/>
      <w:r w:rsidRPr="00B84BA6">
        <w:rPr>
          <w:rFonts w:ascii="Times New Roman" w:hAnsi="Times New Roman" w:cs="Times New Roman"/>
          <w:sz w:val="24"/>
          <w:szCs w:val="24"/>
          <w:lang w:val="en-ZW"/>
        </w:rPr>
        <w:t>Løland</w:t>
      </w:r>
      <w:proofErr w:type="spellEnd"/>
      <w:r w:rsidRPr="00B84BA6">
        <w:rPr>
          <w:rFonts w:ascii="Times New Roman" w:hAnsi="Times New Roman" w:cs="Times New Roman"/>
          <w:sz w:val="24"/>
          <w:szCs w:val="24"/>
          <w:lang w:val="en-ZW"/>
        </w:rPr>
        <w:t xml:space="preserve">, R. B. </w:t>
      </w:r>
      <w:proofErr w:type="spellStart"/>
      <w:r w:rsidRPr="00B84BA6">
        <w:rPr>
          <w:rFonts w:ascii="Times New Roman" w:hAnsi="Times New Roman" w:cs="Times New Roman"/>
          <w:sz w:val="24"/>
          <w:szCs w:val="24"/>
          <w:lang w:val="en-ZW"/>
        </w:rPr>
        <w:t>Huseby</w:t>
      </w:r>
      <w:proofErr w:type="spellEnd"/>
      <w:r w:rsidRPr="00B84BA6">
        <w:rPr>
          <w:rFonts w:ascii="Times New Roman" w:hAnsi="Times New Roman" w:cs="Times New Roman"/>
          <w:sz w:val="24"/>
          <w:szCs w:val="24"/>
          <w:lang w:val="en-ZW"/>
        </w:rPr>
        <w:t xml:space="preserve">, G. </w:t>
      </w:r>
      <w:proofErr w:type="spellStart"/>
      <w:r w:rsidRPr="00B84BA6">
        <w:rPr>
          <w:rFonts w:ascii="Times New Roman" w:hAnsi="Times New Roman" w:cs="Times New Roman"/>
          <w:sz w:val="24"/>
          <w:szCs w:val="24"/>
          <w:lang w:val="en-ZW"/>
        </w:rPr>
        <w:t>Ånonsen</w:t>
      </w:r>
      <w:proofErr w:type="spellEnd"/>
      <w:r w:rsidRPr="00B84BA6">
        <w:rPr>
          <w:rFonts w:ascii="Times New Roman" w:hAnsi="Times New Roman" w:cs="Times New Roman"/>
          <w:sz w:val="24"/>
          <w:szCs w:val="24"/>
          <w:lang w:val="en-ZW"/>
        </w:rPr>
        <w:t xml:space="preserve">, and J. </w:t>
      </w:r>
      <w:proofErr w:type="spellStart"/>
      <w:r w:rsidRPr="00B84BA6">
        <w:rPr>
          <w:rFonts w:ascii="Times New Roman" w:hAnsi="Times New Roman" w:cs="Times New Roman"/>
          <w:sz w:val="24"/>
          <w:szCs w:val="24"/>
          <w:lang w:val="en-ZW"/>
        </w:rPr>
        <w:t>Lorentzen</w:t>
      </w:r>
      <w:proofErr w:type="spellEnd"/>
      <w:r w:rsidRPr="00B84BA6">
        <w:rPr>
          <w:rFonts w:ascii="Times New Roman" w:hAnsi="Times New Roman" w:cs="Times New Roman"/>
          <w:sz w:val="24"/>
          <w:szCs w:val="24"/>
          <w:lang w:val="en-ZW"/>
        </w:rPr>
        <w:t xml:space="preserve">, “Detecting money laundering transactions with machine learning,” Journal of Money Laundering Control, vol. 23, no. 1, pp. 173–186, 2020, </w:t>
      </w:r>
      <w:proofErr w:type="spellStart"/>
      <w:r w:rsidRPr="00B84BA6">
        <w:rPr>
          <w:rFonts w:ascii="Times New Roman" w:hAnsi="Times New Roman" w:cs="Times New Roman"/>
          <w:sz w:val="24"/>
          <w:szCs w:val="24"/>
          <w:lang w:val="en-ZW"/>
        </w:rPr>
        <w:t>doi</w:t>
      </w:r>
      <w:proofErr w:type="spellEnd"/>
      <w:r w:rsidRPr="00B84BA6">
        <w:rPr>
          <w:rFonts w:ascii="Times New Roman" w:hAnsi="Times New Roman" w:cs="Times New Roman"/>
          <w:sz w:val="24"/>
          <w:szCs w:val="24"/>
          <w:lang w:val="en-ZW"/>
        </w:rPr>
        <w:t>: 10.1108/JMLC-07-2019-0055.</w:t>
      </w:r>
    </w:p>
    <w:p w14:paraId="6BCBC008" w14:textId="77777777" w:rsidR="00BD6A76" w:rsidRPr="00B84BA6" w:rsidRDefault="00BD6A76" w:rsidP="00B84BA6">
      <w:pPr>
        <w:spacing w:line="360" w:lineRule="auto"/>
        <w:jc w:val="both"/>
        <w:rPr>
          <w:rFonts w:ascii="Times New Roman" w:hAnsi="Times New Roman" w:cs="Times New Roman"/>
          <w:sz w:val="24"/>
          <w:szCs w:val="24"/>
        </w:rPr>
      </w:pPr>
    </w:p>
    <w:sectPr w:rsidR="00BD6A76" w:rsidRPr="00B84B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BA6"/>
    <w:rsid w:val="001C7AFF"/>
    <w:rsid w:val="00223776"/>
    <w:rsid w:val="00283FB4"/>
    <w:rsid w:val="00292C09"/>
    <w:rsid w:val="003D2558"/>
    <w:rsid w:val="00443611"/>
    <w:rsid w:val="004A7C6F"/>
    <w:rsid w:val="00564D58"/>
    <w:rsid w:val="005A2EB0"/>
    <w:rsid w:val="005F6D2C"/>
    <w:rsid w:val="006259BA"/>
    <w:rsid w:val="006A6D29"/>
    <w:rsid w:val="006D76B1"/>
    <w:rsid w:val="00781B55"/>
    <w:rsid w:val="00950092"/>
    <w:rsid w:val="009631C0"/>
    <w:rsid w:val="009B361E"/>
    <w:rsid w:val="009C72E0"/>
    <w:rsid w:val="00B34729"/>
    <w:rsid w:val="00B6246A"/>
    <w:rsid w:val="00B84BA6"/>
    <w:rsid w:val="00BD6A76"/>
    <w:rsid w:val="00C01858"/>
    <w:rsid w:val="00C85BA2"/>
    <w:rsid w:val="00CD5DA5"/>
    <w:rsid w:val="00CE7C49"/>
    <w:rsid w:val="00EE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29F02"/>
  <w15:chartTrackingRefBased/>
  <w15:docId w15:val="{42A5AF0A-F123-4A44-8499-5B454C38E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4BA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84BA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84BA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84BA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84BA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84B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4B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4B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4B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4BA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84BA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84BA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84BA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84BA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84B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4B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4B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4BA6"/>
    <w:rPr>
      <w:rFonts w:eastAsiaTheme="majorEastAsia" w:cstheme="majorBidi"/>
      <w:color w:val="272727" w:themeColor="text1" w:themeTint="D8"/>
    </w:rPr>
  </w:style>
  <w:style w:type="paragraph" w:styleId="Title">
    <w:name w:val="Title"/>
    <w:basedOn w:val="Normal"/>
    <w:next w:val="Normal"/>
    <w:link w:val="TitleChar"/>
    <w:uiPriority w:val="10"/>
    <w:qFormat/>
    <w:rsid w:val="00B84B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4B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4B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4B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4BA6"/>
    <w:pPr>
      <w:spacing w:before="160"/>
      <w:jc w:val="center"/>
    </w:pPr>
    <w:rPr>
      <w:i/>
      <w:iCs/>
      <w:color w:val="404040" w:themeColor="text1" w:themeTint="BF"/>
    </w:rPr>
  </w:style>
  <w:style w:type="character" w:customStyle="1" w:styleId="QuoteChar">
    <w:name w:val="Quote Char"/>
    <w:basedOn w:val="DefaultParagraphFont"/>
    <w:link w:val="Quote"/>
    <w:uiPriority w:val="29"/>
    <w:rsid w:val="00B84BA6"/>
    <w:rPr>
      <w:i/>
      <w:iCs/>
      <w:color w:val="404040" w:themeColor="text1" w:themeTint="BF"/>
    </w:rPr>
  </w:style>
  <w:style w:type="paragraph" w:styleId="ListParagraph">
    <w:name w:val="List Paragraph"/>
    <w:basedOn w:val="Normal"/>
    <w:uiPriority w:val="34"/>
    <w:qFormat/>
    <w:rsid w:val="00B84BA6"/>
    <w:pPr>
      <w:ind w:left="720"/>
      <w:contextualSpacing/>
    </w:pPr>
  </w:style>
  <w:style w:type="character" w:styleId="IntenseEmphasis">
    <w:name w:val="Intense Emphasis"/>
    <w:basedOn w:val="DefaultParagraphFont"/>
    <w:uiPriority w:val="21"/>
    <w:qFormat/>
    <w:rsid w:val="00B84BA6"/>
    <w:rPr>
      <w:i/>
      <w:iCs/>
      <w:color w:val="2E74B5" w:themeColor="accent1" w:themeShade="BF"/>
    </w:rPr>
  </w:style>
  <w:style w:type="paragraph" w:styleId="IntenseQuote">
    <w:name w:val="Intense Quote"/>
    <w:basedOn w:val="Normal"/>
    <w:next w:val="Normal"/>
    <w:link w:val="IntenseQuoteChar"/>
    <w:uiPriority w:val="30"/>
    <w:qFormat/>
    <w:rsid w:val="00B84BA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84BA6"/>
    <w:rPr>
      <w:i/>
      <w:iCs/>
      <w:color w:val="2E74B5" w:themeColor="accent1" w:themeShade="BF"/>
    </w:rPr>
  </w:style>
  <w:style w:type="character" w:styleId="IntenseReference">
    <w:name w:val="Intense Reference"/>
    <w:basedOn w:val="DefaultParagraphFont"/>
    <w:uiPriority w:val="32"/>
    <w:qFormat/>
    <w:rsid w:val="00B84BA6"/>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466902">
      <w:bodyDiv w:val="1"/>
      <w:marLeft w:val="0"/>
      <w:marRight w:val="0"/>
      <w:marTop w:val="0"/>
      <w:marBottom w:val="0"/>
      <w:divBdr>
        <w:top w:val="none" w:sz="0" w:space="0" w:color="auto"/>
        <w:left w:val="none" w:sz="0" w:space="0" w:color="auto"/>
        <w:bottom w:val="none" w:sz="0" w:space="0" w:color="auto"/>
        <w:right w:val="none" w:sz="0" w:space="0" w:color="auto"/>
      </w:divBdr>
      <w:divsChild>
        <w:div w:id="1871145352">
          <w:marLeft w:val="0"/>
          <w:marRight w:val="0"/>
          <w:marTop w:val="0"/>
          <w:marBottom w:val="0"/>
          <w:divBdr>
            <w:top w:val="none" w:sz="0" w:space="0" w:color="auto"/>
            <w:left w:val="none" w:sz="0" w:space="0" w:color="auto"/>
            <w:bottom w:val="none" w:sz="0" w:space="0" w:color="auto"/>
            <w:right w:val="none" w:sz="0" w:space="0" w:color="auto"/>
          </w:divBdr>
          <w:divsChild>
            <w:div w:id="1856726256">
              <w:marLeft w:val="0"/>
              <w:marRight w:val="0"/>
              <w:marTop w:val="0"/>
              <w:marBottom w:val="0"/>
              <w:divBdr>
                <w:top w:val="none" w:sz="0" w:space="0" w:color="auto"/>
                <w:left w:val="none" w:sz="0" w:space="0" w:color="auto"/>
                <w:bottom w:val="none" w:sz="0" w:space="0" w:color="auto"/>
                <w:right w:val="none" w:sz="0" w:space="0" w:color="auto"/>
              </w:divBdr>
            </w:div>
          </w:divsChild>
        </w:div>
        <w:div w:id="1461071233">
          <w:marLeft w:val="0"/>
          <w:marRight w:val="0"/>
          <w:marTop w:val="0"/>
          <w:marBottom w:val="0"/>
          <w:divBdr>
            <w:top w:val="none" w:sz="0" w:space="0" w:color="auto"/>
            <w:left w:val="none" w:sz="0" w:space="0" w:color="auto"/>
            <w:bottom w:val="none" w:sz="0" w:space="0" w:color="auto"/>
            <w:right w:val="none" w:sz="0" w:space="0" w:color="auto"/>
          </w:divBdr>
          <w:divsChild>
            <w:div w:id="241644043">
              <w:marLeft w:val="0"/>
              <w:marRight w:val="0"/>
              <w:marTop w:val="0"/>
              <w:marBottom w:val="0"/>
              <w:divBdr>
                <w:top w:val="none" w:sz="0" w:space="0" w:color="auto"/>
                <w:left w:val="none" w:sz="0" w:space="0" w:color="auto"/>
                <w:bottom w:val="none" w:sz="0" w:space="0" w:color="auto"/>
                <w:right w:val="none" w:sz="0" w:space="0" w:color="auto"/>
              </w:divBdr>
            </w:div>
          </w:divsChild>
        </w:div>
        <w:div w:id="1095906730">
          <w:marLeft w:val="0"/>
          <w:marRight w:val="0"/>
          <w:marTop w:val="0"/>
          <w:marBottom w:val="0"/>
          <w:divBdr>
            <w:top w:val="none" w:sz="0" w:space="0" w:color="auto"/>
            <w:left w:val="none" w:sz="0" w:space="0" w:color="auto"/>
            <w:bottom w:val="none" w:sz="0" w:space="0" w:color="auto"/>
            <w:right w:val="none" w:sz="0" w:space="0" w:color="auto"/>
          </w:divBdr>
          <w:divsChild>
            <w:div w:id="1538616272">
              <w:marLeft w:val="0"/>
              <w:marRight w:val="0"/>
              <w:marTop w:val="0"/>
              <w:marBottom w:val="0"/>
              <w:divBdr>
                <w:top w:val="none" w:sz="0" w:space="0" w:color="auto"/>
                <w:left w:val="none" w:sz="0" w:space="0" w:color="auto"/>
                <w:bottom w:val="none" w:sz="0" w:space="0" w:color="auto"/>
                <w:right w:val="none" w:sz="0" w:space="0" w:color="auto"/>
              </w:divBdr>
            </w:div>
          </w:divsChild>
        </w:div>
        <w:div w:id="1742872160">
          <w:marLeft w:val="0"/>
          <w:marRight w:val="0"/>
          <w:marTop w:val="0"/>
          <w:marBottom w:val="0"/>
          <w:divBdr>
            <w:top w:val="none" w:sz="0" w:space="0" w:color="auto"/>
            <w:left w:val="none" w:sz="0" w:space="0" w:color="auto"/>
            <w:bottom w:val="none" w:sz="0" w:space="0" w:color="auto"/>
            <w:right w:val="none" w:sz="0" w:space="0" w:color="auto"/>
          </w:divBdr>
          <w:divsChild>
            <w:div w:id="345137785">
              <w:marLeft w:val="0"/>
              <w:marRight w:val="0"/>
              <w:marTop w:val="0"/>
              <w:marBottom w:val="0"/>
              <w:divBdr>
                <w:top w:val="none" w:sz="0" w:space="0" w:color="auto"/>
                <w:left w:val="none" w:sz="0" w:space="0" w:color="auto"/>
                <w:bottom w:val="none" w:sz="0" w:space="0" w:color="auto"/>
                <w:right w:val="none" w:sz="0" w:space="0" w:color="auto"/>
              </w:divBdr>
            </w:div>
          </w:divsChild>
        </w:div>
        <w:div w:id="1113982777">
          <w:marLeft w:val="0"/>
          <w:marRight w:val="0"/>
          <w:marTop w:val="0"/>
          <w:marBottom w:val="0"/>
          <w:divBdr>
            <w:top w:val="none" w:sz="0" w:space="0" w:color="auto"/>
            <w:left w:val="none" w:sz="0" w:space="0" w:color="auto"/>
            <w:bottom w:val="none" w:sz="0" w:space="0" w:color="auto"/>
            <w:right w:val="none" w:sz="0" w:space="0" w:color="auto"/>
          </w:divBdr>
          <w:divsChild>
            <w:div w:id="597325063">
              <w:marLeft w:val="0"/>
              <w:marRight w:val="0"/>
              <w:marTop w:val="0"/>
              <w:marBottom w:val="0"/>
              <w:divBdr>
                <w:top w:val="none" w:sz="0" w:space="0" w:color="auto"/>
                <w:left w:val="none" w:sz="0" w:space="0" w:color="auto"/>
                <w:bottom w:val="none" w:sz="0" w:space="0" w:color="auto"/>
                <w:right w:val="none" w:sz="0" w:space="0" w:color="auto"/>
              </w:divBdr>
            </w:div>
          </w:divsChild>
        </w:div>
        <w:div w:id="122388317">
          <w:marLeft w:val="0"/>
          <w:marRight w:val="0"/>
          <w:marTop w:val="0"/>
          <w:marBottom w:val="0"/>
          <w:divBdr>
            <w:top w:val="none" w:sz="0" w:space="0" w:color="auto"/>
            <w:left w:val="none" w:sz="0" w:space="0" w:color="auto"/>
            <w:bottom w:val="none" w:sz="0" w:space="0" w:color="auto"/>
            <w:right w:val="none" w:sz="0" w:space="0" w:color="auto"/>
          </w:divBdr>
          <w:divsChild>
            <w:div w:id="1204487542">
              <w:marLeft w:val="0"/>
              <w:marRight w:val="0"/>
              <w:marTop w:val="0"/>
              <w:marBottom w:val="0"/>
              <w:divBdr>
                <w:top w:val="none" w:sz="0" w:space="0" w:color="auto"/>
                <w:left w:val="none" w:sz="0" w:space="0" w:color="auto"/>
                <w:bottom w:val="none" w:sz="0" w:space="0" w:color="auto"/>
                <w:right w:val="none" w:sz="0" w:space="0" w:color="auto"/>
              </w:divBdr>
            </w:div>
          </w:divsChild>
        </w:div>
        <w:div w:id="1848670499">
          <w:marLeft w:val="0"/>
          <w:marRight w:val="0"/>
          <w:marTop w:val="0"/>
          <w:marBottom w:val="0"/>
          <w:divBdr>
            <w:top w:val="none" w:sz="0" w:space="0" w:color="auto"/>
            <w:left w:val="none" w:sz="0" w:space="0" w:color="auto"/>
            <w:bottom w:val="none" w:sz="0" w:space="0" w:color="auto"/>
            <w:right w:val="none" w:sz="0" w:space="0" w:color="auto"/>
          </w:divBdr>
          <w:divsChild>
            <w:div w:id="2126924745">
              <w:marLeft w:val="0"/>
              <w:marRight w:val="0"/>
              <w:marTop w:val="0"/>
              <w:marBottom w:val="0"/>
              <w:divBdr>
                <w:top w:val="none" w:sz="0" w:space="0" w:color="auto"/>
                <w:left w:val="none" w:sz="0" w:space="0" w:color="auto"/>
                <w:bottom w:val="none" w:sz="0" w:space="0" w:color="auto"/>
                <w:right w:val="none" w:sz="0" w:space="0" w:color="auto"/>
              </w:divBdr>
            </w:div>
          </w:divsChild>
        </w:div>
        <w:div w:id="650139664">
          <w:marLeft w:val="0"/>
          <w:marRight w:val="0"/>
          <w:marTop w:val="0"/>
          <w:marBottom w:val="0"/>
          <w:divBdr>
            <w:top w:val="none" w:sz="0" w:space="0" w:color="auto"/>
            <w:left w:val="none" w:sz="0" w:space="0" w:color="auto"/>
            <w:bottom w:val="none" w:sz="0" w:space="0" w:color="auto"/>
            <w:right w:val="none" w:sz="0" w:space="0" w:color="auto"/>
          </w:divBdr>
          <w:divsChild>
            <w:div w:id="38938307">
              <w:marLeft w:val="0"/>
              <w:marRight w:val="0"/>
              <w:marTop w:val="0"/>
              <w:marBottom w:val="0"/>
              <w:divBdr>
                <w:top w:val="none" w:sz="0" w:space="0" w:color="auto"/>
                <w:left w:val="none" w:sz="0" w:space="0" w:color="auto"/>
                <w:bottom w:val="none" w:sz="0" w:space="0" w:color="auto"/>
                <w:right w:val="none" w:sz="0" w:space="0" w:color="auto"/>
              </w:divBdr>
            </w:div>
          </w:divsChild>
        </w:div>
        <w:div w:id="1043016407">
          <w:marLeft w:val="0"/>
          <w:marRight w:val="0"/>
          <w:marTop w:val="0"/>
          <w:marBottom w:val="0"/>
          <w:divBdr>
            <w:top w:val="none" w:sz="0" w:space="0" w:color="auto"/>
            <w:left w:val="none" w:sz="0" w:space="0" w:color="auto"/>
            <w:bottom w:val="none" w:sz="0" w:space="0" w:color="auto"/>
            <w:right w:val="none" w:sz="0" w:space="0" w:color="auto"/>
          </w:divBdr>
          <w:divsChild>
            <w:div w:id="341050440">
              <w:marLeft w:val="0"/>
              <w:marRight w:val="0"/>
              <w:marTop w:val="0"/>
              <w:marBottom w:val="0"/>
              <w:divBdr>
                <w:top w:val="none" w:sz="0" w:space="0" w:color="auto"/>
                <w:left w:val="none" w:sz="0" w:space="0" w:color="auto"/>
                <w:bottom w:val="none" w:sz="0" w:space="0" w:color="auto"/>
                <w:right w:val="none" w:sz="0" w:space="0" w:color="auto"/>
              </w:divBdr>
            </w:div>
          </w:divsChild>
        </w:div>
        <w:div w:id="802767844">
          <w:marLeft w:val="0"/>
          <w:marRight w:val="0"/>
          <w:marTop w:val="0"/>
          <w:marBottom w:val="0"/>
          <w:divBdr>
            <w:top w:val="none" w:sz="0" w:space="0" w:color="auto"/>
            <w:left w:val="none" w:sz="0" w:space="0" w:color="auto"/>
            <w:bottom w:val="none" w:sz="0" w:space="0" w:color="auto"/>
            <w:right w:val="none" w:sz="0" w:space="0" w:color="auto"/>
          </w:divBdr>
          <w:divsChild>
            <w:div w:id="1276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099472">
      <w:bodyDiv w:val="1"/>
      <w:marLeft w:val="0"/>
      <w:marRight w:val="0"/>
      <w:marTop w:val="0"/>
      <w:marBottom w:val="0"/>
      <w:divBdr>
        <w:top w:val="none" w:sz="0" w:space="0" w:color="auto"/>
        <w:left w:val="none" w:sz="0" w:space="0" w:color="auto"/>
        <w:bottom w:val="none" w:sz="0" w:space="0" w:color="auto"/>
        <w:right w:val="none" w:sz="0" w:space="0" w:color="auto"/>
      </w:divBdr>
      <w:divsChild>
        <w:div w:id="624625507">
          <w:marLeft w:val="0"/>
          <w:marRight w:val="0"/>
          <w:marTop w:val="0"/>
          <w:marBottom w:val="0"/>
          <w:divBdr>
            <w:top w:val="none" w:sz="0" w:space="0" w:color="auto"/>
            <w:left w:val="none" w:sz="0" w:space="0" w:color="auto"/>
            <w:bottom w:val="none" w:sz="0" w:space="0" w:color="auto"/>
            <w:right w:val="none" w:sz="0" w:space="0" w:color="auto"/>
          </w:divBdr>
          <w:divsChild>
            <w:div w:id="918827169">
              <w:marLeft w:val="0"/>
              <w:marRight w:val="0"/>
              <w:marTop w:val="0"/>
              <w:marBottom w:val="0"/>
              <w:divBdr>
                <w:top w:val="none" w:sz="0" w:space="0" w:color="auto"/>
                <w:left w:val="none" w:sz="0" w:space="0" w:color="auto"/>
                <w:bottom w:val="none" w:sz="0" w:space="0" w:color="auto"/>
                <w:right w:val="none" w:sz="0" w:space="0" w:color="auto"/>
              </w:divBdr>
            </w:div>
          </w:divsChild>
        </w:div>
        <w:div w:id="782725684">
          <w:marLeft w:val="0"/>
          <w:marRight w:val="0"/>
          <w:marTop w:val="0"/>
          <w:marBottom w:val="0"/>
          <w:divBdr>
            <w:top w:val="none" w:sz="0" w:space="0" w:color="auto"/>
            <w:left w:val="none" w:sz="0" w:space="0" w:color="auto"/>
            <w:bottom w:val="none" w:sz="0" w:space="0" w:color="auto"/>
            <w:right w:val="none" w:sz="0" w:space="0" w:color="auto"/>
          </w:divBdr>
          <w:divsChild>
            <w:div w:id="1991209663">
              <w:marLeft w:val="0"/>
              <w:marRight w:val="0"/>
              <w:marTop w:val="0"/>
              <w:marBottom w:val="0"/>
              <w:divBdr>
                <w:top w:val="none" w:sz="0" w:space="0" w:color="auto"/>
                <w:left w:val="none" w:sz="0" w:space="0" w:color="auto"/>
                <w:bottom w:val="none" w:sz="0" w:space="0" w:color="auto"/>
                <w:right w:val="none" w:sz="0" w:space="0" w:color="auto"/>
              </w:divBdr>
            </w:div>
          </w:divsChild>
        </w:div>
        <w:div w:id="1011251124">
          <w:marLeft w:val="0"/>
          <w:marRight w:val="0"/>
          <w:marTop w:val="0"/>
          <w:marBottom w:val="0"/>
          <w:divBdr>
            <w:top w:val="none" w:sz="0" w:space="0" w:color="auto"/>
            <w:left w:val="none" w:sz="0" w:space="0" w:color="auto"/>
            <w:bottom w:val="none" w:sz="0" w:space="0" w:color="auto"/>
            <w:right w:val="none" w:sz="0" w:space="0" w:color="auto"/>
          </w:divBdr>
          <w:divsChild>
            <w:div w:id="2083327342">
              <w:marLeft w:val="0"/>
              <w:marRight w:val="0"/>
              <w:marTop w:val="0"/>
              <w:marBottom w:val="0"/>
              <w:divBdr>
                <w:top w:val="none" w:sz="0" w:space="0" w:color="auto"/>
                <w:left w:val="none" w:sz="0" w:space="0" w:color="auto"/>
                <w:bottom w:val="none" w:sz="0" w:space="0" w:color="auto"/>
                <w:right w:val="none" w:sz="0" w:space="0" w:color="auto"/>
              </w:divBdr>
            </w:div>
          </w:divsChild>
        </w:div>
        <w:div w:id="981274797">
          <w:marLeft w:val="0"/>
          <w:marRight w:val="0"/>
          <w:marTop w:val="0"/>
          <w:marBottom w:val="0"/>
          <w:divBdr>
            <w:top w:val="none" w:sz="0" w:space="0" w:color="auto"/>
            <w:left w:val="none" w:sz="0" w:space="0" w:color="auto"/>
            <w:bottom w:val="none" w:sz="0" w:space="0" w:color="auto"/>
            <w:right w:val="none" w:sz="0" w:space="0" w:color="auto"/>
          </w:divBdr>
          <w:divsChild>
            <w:div w:id="103962885">
              <w:marLeft w:val="0"/>
              <w:marRight w:val="0"/>
              <w:marTop w:val="0"/>
              <w:marBottom w:val="0"/>
              <w:divBdr>
                <w:top w:val="none" w:sz="0" w:space="0" w:color="auto"/>
                <w:left w:val="none" w:sz="0" w:space="0" w:color="auto"/>
                <w:bottom w:val="none" w:sz="0" w:space="0" w:color="auto"/>
                <w:right w:val="none" w:sz="0" w:space="0" w:color="auto"/>
              </w:divBdr>
            </w:div>
          </w:divsChild>
        </w:div>
        <w:div w:id="1346328833">
          <w:marLeft w:val="0"/>
          <w:marRight w:val="0"/>
          <w:marTop w:val="0"/>
          <w:marBottom w:val="0"/>
          <w:divBdr>
            <w:top w:val="none" w:sz="0" w:space="0" w:color="auto"/>
            <w:left w:val="none" w:sz="0" w:space="0" w:color="auto"/>
            <w:bottom w:val="none" w:sz="0" w:space="0" w:color="auto"/>
            <w:right w:val="none" w:sz="0" w:space="0" w:color="auto"/>
          </w:divBdr>
          <w:divsChild>
            <w:div w:id="171457882">
              <w:marLeft w:val="0"/>
              <w:marRight w:val="0"/>
              <w:marTop w:val="0"/>
              <w:marBottom w:val="0"/>
              <w:divBdr>
                <w:top w:val="none" w:sz="0" w:space="0" w:color="auto"/>
                <w:left w:val="none" w:sz="0" w:space="0" w:color="auto"/>
                <w:bottom w:val="none" w:sz="0" w:space="0" w:color="auto"/>
                <w:right w:val="none" w:sz="0" w:space="0" w:color="auto"/>
              </w:divBdr>
            </w:div>
          </w:divsChild>
        </w:div>
        <w:div w:id="1276788358">
          <w:marLeft w:val="0"/>
          <w:marRight w:val="0"/>
          <w:marTop w:val="0"/>
          <w:marBottom w:val="0"/>
          <w:divBdr>
            <w:top w:val="none" w:sz="0" w:space="0" w:color="auto"/>
            <w:left w:val="none" w:sz="0" w:space="0" w:color="auto"/>
            <w:bottom w:val="none" w:sz="0" w:space="0" w:color="auto"/>
            <w:right w:val="none" w:sz="0" w:space="0" w:color="auto"/>
          </w:divBdr>
          <w:divsChild>
            <w:div w:id="1636523143">
              <w:marLeft w:val="0"/>
              <w:marRight w:val="0"/>
              <w:marTop w:val="0"/>
              <w:marBottom w:val="0"/>
              <w:divBdr>
                <w:top w:val="none" w:sz="0" w:space="0" w:color="auto"/>
                <w:left w:val="none" w:sz="0" w:space="0" w:color="auto"/>
                <w:bottom w:val="none" w:sz="0" w:space="0" w:color="auto"/>
                <w:right w:val="none" w:sz="0" w:space="0" w:color="auto"/>
              </w:divBdr>
            </w:div>
          </w:divsChild>
        </w:div>
        <w:div w:id="1246911787">
          <w:marLeft w:val="0"/>
          <w:marRight w:val="0"/>
          <w:marTop w:val="0"/>
          <w:marBottom w:val="0"/>
          <w:divBdr>
            <w:top w:val="none" w:sz="0" w:space="0" w:color="auto"/>
            <w:left w:val="none" w:sz="0" w:space="0" w:color="auto"/>
            <w:bottom w:val="none" w:sz="0" w:space="0" w:color="auto"/>
            <w:right w:val="none" w:sz="0" w:space="0" w:color="auto"/>
          </w:divBdr>
          <w:divsChild>
            <w:div w:id="2112623065">
              <w:marLeft w:val="0"/>
              <w:marRight w:val="0"/>
              <w:marTop w:val="0"/>
              <w:marBottom w:val="0"/>
              <w:divBdr>
                <w:top w:val="none" w:sz="0" w:space="0" w:color="auto"/>
                <w:left w:val="none" w:sz="0" w:space="0" w:color="auto"/>
                <w:bottom w:val="none" w:sz="0" w:space="0" w:color="auto"/>
                <w:right w:val="none" w:sz="0" w:space="0" w:color="auto"/>
              </w:divBdr>
            </w:div>
          </w:divsChild>
        </w:div>
        <w:div w:id="1681854638">
          <w:marLeft w:val="0"/>
          <w:marRight w:val="0"/>
          <w:marTop w:val="0"/>
          <w:marBottom w:val="0"/>
          <w:divBdr>
            <w:top w:val="none" w:sz="0" w:space="0" w:color="auto"/>
            <w:left w:val="none" w:sz="0" w:space="0" w:color="auto"/>
            <w:bottom w:val="none" w:sz="0" w:space="0" w:color="auto"/>
            <w:right w:val="none" w:sz="0" w:space="0" w:color="auto"/>
          </w:divBdr>
          <w:divsChild>
            <w:div w:id="1761834205">
              <w:marLeft w:val="0"/>
              <w:marRight w:val="0"/>
              <w:marTop w:val="0"/>
              <w:marBottom w:val="0"/>
              <w:divBdr>
                <w:top w:val="none" w:sz="0" w:space="0" w:color="auto"/>
                <w:left w:val="none" w:sz="0" w:space="0" w:color="auto"/>
                <w:bottom w:val="none" w:sz="0" w:space="0" w:color="auto"/>
                <w:right w:val="none" w:sz="0" w:space="0" w:color="auto"/>
              </w:divBdr>
            </w:div>
          </w:divsChild>
        </w:div>
        <w:div w:id="1538539887">
          <w:marLeft w:val="0"/>
          <w:marRight w:val="0"/>
          <w:marTop w:val="0"/>
          <w:marBottom w:val="0"/>
          <w:divBdr>
            <w:top w:val="none" w:sz="0" w:space="0" w:color="auto"/>
            <w:left w:val="none" w:sz="0" w:space="0" w:color="auto"/>
            <w:bottom w:val="none" w:sz="0" w:space="0" w:color="auto"/>
            <w:right w:val="none" w:sz="0" w:space="0" w:color="auto"/>
          </w:divBdr>
          <w:divsChild>
            <w:div w:id="510801149">
              <w:marLeft w:val="0"/>
              <w:marRight w:val="0"/>
              <w:marTop w:val="0"/>
              <w:marBottom w:val="0"/>
              <w:divBdr>
                <w:top w:val="none" w:sz="0" w:space="0" w:color="auto"/>
                <w:left w:val="none" w:sz="0" w:space="0" w:color="auto"/>
                <w:bottom w:val="none" w:sz="0" w:space="0" w:color="auto"/>
                <w:right w:val="none" w:sz="0" w:space="0" w:color="auto"/>
              </w:divBdr>
            </w:div>
          </w:divsChild>
        </w:div>
        <w:div w:id="1283685137">
          <w:marLeft w:val="0"/>
          <w:marRight w:val="0"/>
          <w:marTop w:val="0"/>
          <w:marBottom w:val="0"/>
          <w:divBdr>
            <w:top w:val="none" w:sz="0" w:space="0" w:color="auto"/>
            <w:left w:val="none" w:sz="0" w:space="0" w:color="auto"/>
            <w:bottom w:val="none" w:sz="0" w:space="0" w:color="auto"/>
            <w:right w:val="none" w:sz="0" w:space="0" w:color="auto"/>
          </w:divBdr>
          <w:divsChild>
            <w:div w:id="13610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26</Pages>
  <Words>5949</Words>
  <Characters>33915</Characters>
  <Application>Microsoft Office Word</Application>
  <DocSecurity>0</DocSecurity>
  <Lines>282</Lines>
  <Paragraphs>79</Paragraphs>
  <ScaleCrop>false</ScaleCrop>
  <Company/>
  <LinksUpToDate>false</LinksUpToDate>
  <CharactersWithSpaces>39785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24</cp:revision>
  <dcterms:created xsi:type="dcterms:W3CDTF">2026-09-19T18:31:00Z</dcterms:created>
  <dcterms:modified xsi:type="dcterms:W3CDTF">2026-09-19T18:41:00Z</dcterms:modified>
</cp:coreProperties>
</file>