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SUPERVISOR CORRECTIONS RECORD</w:t>
      </w:r>
    </w:p>
    <w:p>
      <w:r>
        <w:t>The revision addresses all 15 embedded comments in Chapter_2 (3).docx and applies the May 2025 project guidelines. The source file was preserved. This record accompanies the corrected chapter and is not part of its literature review.</w:t>
      </w:r>
    </w:p>
    <w:p>
      <w:pPr>
        <w:pStyle w:val="Heading2"/>
      </w:pPr>
      <w:r>
        <w:t>1. Comment-by-Comment Response</w:t>
      </w:r>
    </w:p>
    <w:tbl>
      <w:tblPr>
        <w:tblStyle w:val="TableGrid"/>
        <w:tblW w:type="auto" w:w="0"/>
        <w:tblLayout w:type="fixed"/>
        <w:tblLook w:firstColumn="1" w:firstRow="1" w:lastColumn="0" w:lastRow="0" w:noHBand="0" w:noVBand="1" w:val="04A0"/>
      </w:tblPr>
      <w:tblGrid>
        <w:gridCol w:w="1224"/>
        <w:gridCol w:w="1872"/>
        <w:gridCol w:w="5976"/>
      </w:tblGrid>
      <w:tr>
        <w:trPr>
          <w:tblHeader/>
          <w:cantSplit/>
        </w:trPr>
        <w:tc>
          <w:tcPr>
            <w:tcW w:type="dxa" w:w="1224"/>
            <w:shd w:fill="E8EDF2"/>
          </w:tcPr>
          <w:p>
            <w:pPr>
              <w:spacing w:after="60"/>
              <w:jc w:val="left"/>
            </w:pPr>
            <w:r>
              <w:rPr>
                <w:b/>
                <w:sz w:val="24"/>
              </w:rPr>
              <w:t>Comment ID</w:t>
            </w:r>
          </w:p>
        </w:tc>
        <w:tc>
          <w:tcPr>
            <w:tcW w:type="dxa" w:w="1872"/>
            <w:shd w:fill="E8EDF2"/>
          </w:tcPr>
          <w:p>
            <w:pPr>
              <w:spacing w:after="60"/>
              <w:jc w:val="left"/>
            </w:pPr>
            <w:r>
              <w:rPr>
                <w:b/>
                <w:sz w:val="24"/>
              </w:rPr>
              <w:t>Revised location</w:t>
            </w:r>
          </w:p>
        </w:tc>
        <w:tc>
          <w:tcPr>
            <w:tcW w:type="dxa" w:w="5976"/>
            <w:shd w:fill="E8EDF2"/>
          </w:tcPr>
          <w:p>
            <w:pPr>
              <w:spacing w:after="60"/>
              <w:jc w:val="left"/>
            </w:pPr>
            <w:r>
              <w:rPr>
                <w:b/>
                <w:sz w:val="24"/>
              </w:rPr>
              <w:t>Action</w:t>
            </w:r>
          </w:p>
        </w:tc>
      </w:tr>
      <w:tr>
        <w:trPr>
          <w:cantSplit/>
        </w:trPr>
        <w:tc>
          <w:tcPr>
            <w:tcW w:type="dxa" w:w="1224"/>
          </w:tcPr>
          <w:p>
            <w:pPr>
              <w:spacing w:after="60"/>
              <w:jc w:val="left"/>
            </w:pPr>
            <w:r>
              <w:rPr>
                <w:sz w:val="24"/>
              </w:rPr>
              <w:t>0</w:t>
            </w:r>
          </w:p>
        </w:tc>
        <w:tc>
          <w:tcPr>
            <w:tcW w:type="dxa" w:w="1872"/>
          </w:tcPr>
          <w:p>
            <w:pPr>
              <w:spacing w:after="60"/>
              <w:jc w:val="left"/>
            </w:pPr>
            <w:r>
              <w:rPr>
                <w:sz w:val="24"/>
              </w:rPr>
              <w:t>2.1</w:t>
            </w:r>
          </w:p>
        </w:tc>
        <w:tc>
          <w:tcPr>
            <w:tcW w:type="dxa" w:w="5976"/>
          </w:tcPr>
          <w:p>
            <w:pPr>
              <w:spacing w:after="60"/>
              <w:jc w:val="left"/>
            </w:pPr>
            <w:r>
              <w:rPr>
                <w:sz w:val="24"/>
              </w:rPr>
              <w:t>Replaced the introduction with purpose, funnel structure, themes, critical-comparison criteria and the intended gap; removed implementation detail.</w:t>
            </w:r>
          </w:p>
        </w:tc>
      </w:tr>
      <w:tr>
        <w:trPr>
          <w:cantSplit/>
        </w:trPr>
        <w:tc>
          <w:tcPr>
            <w:tcW w:type="dxa" w:w="1224"/>
          </w:tcPr>
          <w:p>
            <w:pPr>
              <w:spacing w:after="60"/>
              <w:jc w:val="left"/>
            </w:pPr>
            <w:r>
              <w:rPr>
                <w:sz w:val="24"/>
              </w:rPr>
              <w:t>1</w:t>
            </w:r>
          </w:p>
        </w:tc>
        <w:tc>
          <w:tcPr>
            <w:tcW w:type="dxa" w:w="1872"/>
          </w:tcPr>
          <w:p>
            <w:pPr>
              <w:spacing w:after="60"/>
              <w:jc w:val="left"/>
            </w:pPr>
            <w:r>
              <w:rPr>
                <w:sz w:val="24"/>
              </w:rPr>
              <w:t>2.2 throughout</w:t>
            </w:r>
          </w:p>
        </w:tc>
        <w:tc>
          <w:tcPr>
            <w:tcW w:type="dxa" w:w="5976"/>
          </w:tcPr>
          <w:p>
            <w:pPr>
              <w:spacing w:after="60"/>
              <w:jc w:val="left"/>
            </w:pPr>
            <w:r>
              <w:rPr>
                <w:sz w:val="24"/>
              </w:rPr>
              <w:t>Compared named studies by task, method, data, findings, limitation, relevance and difference from the proposed study; qualified evidence types.</w:t>
            </w:r>
          </w:p>
        </w:tc>
      </w:tr>
      <w:tr>
        <w:trPr>
          <w:cantSplit/>
        </w:trPr>
        <w:tc>
          <w:tcPr>
            <w:tcW w:type="dxa" w:w="1224"/>
          </w:tcPr>
          <w:p>
            <w:pPr>
              <w:spacing w:after="60"/>
              <w:jc w:val="left"/>
            </w:pPr>
            <w:r>
              <w:rPr>
                <w:sz w:val="24"/>
              </w:rPr>
              <w:t>2</w:t>
            </w:r>
          </w:p>
        </w:tc>
        <w:tc>
          <w:tcPr>
            <w:tcW w:type="dxa" w:w="1872"/>
          </w:tcPr>
          <w:p>
            <w:pPr>
              <w:spacing w:after="60"/>
              <w:jc w:val="left"/>
            </w:pPr>
            <w:r>
              <w:rPr>
                <w:sz w:val="24"/>
              </w:rPr>
              <w:t>2.2.1</w:t>
            </w:r>
          </w:p>
        </w:tc>
        <w:tc>
          <w:tcPr>
            <w:tcW w:type="dxa" w:w="5976"/>
          </w:tcPr>
          <w:p>
            <w:pPr>
              <w:spacing w:after="60"/>
              <w:jc w:val="left"/>
            </w:pPr>
            <w:r>
              <w:rPr>
                <w:sz w:val="24"/>
              </w:rPr>
              <w:t>Added survey and academic evidence; distinguished banking methods from wallet and agent-mediated operations.</w:t>
            </w:r>
          </w:p>
        </w:tc>
      </w:tr>
      <w:tr>
        <w:trPr>
          <w:cantSplit/>
        </w:trPr>
        <w:tc>
          <w:tcPr>
            <w:tcW w:type="dxa" w:w="1224"/>
          </w:tcPr>
          <w:p>
            <w:pPr>
              <w:spacing w:after="60"/>
              <w:jc w:val="left"/>
            </w:pPr>
            <w:r>
              <w:rPr>
                <w:sz w:val="24"/>
              </w:rPr>
              <w:t>3</w:t>
            </w:r>
          </w:p>
        </w:tc>
        <w:tc>
          <w:tcPr>
            <w:tcW w:type="dxa" w:w="1872"/>
          </w:tcPr>
          <w:p>
            <w:pPr>
              <w:spacing w:after="60"/>
              <w:jc w:val="left"/>
            </w:pPr>
            <w:r>
              <w:rPr>
                <w:sz w:val="24"/>
              </w:rPr>
              <w:t>2.2.2</w:t>
            </w:r>
          </w:p>
        </w:tc>
        <w:tc>
          <w:tcPr>
            <w:tcW w:type="dxa" w:w="5976"/>
          </w:tcPr>
          <w:p>
            <w:pPr>
              <w:spacing w:after="60"/>
              <w:jc w:val="left"/>
            </w:pPr>
            <w:r>
              <w:rPr>
                <w:sz w:val="24"/>
              </w:rPr>
              <w:t>Separated documented misuse from prevalence estimates; distinguished laundering from fraud and other irregularities.</w:t>
            </w:r>
          </w:p>
        </w:tc>
      </w:tr>
      <w:tr>
        <w:trPr>
          <w:cantSplit/>
        </w:trPr>
        <w:tc>
          <w:tcPr>
            <w:tcW w:type="dxa" w:w="1224"/>
          </w:tcPr>
          <w:p>
            <w:pPr>
              <w:spacing w:after="60"/>
              <w:jc w:val="left"/>
            </w:pPr>
            <w:r>
              <w:rPr>
                <w:sz w:val="24"/>
              </w:rPr>
              <w:t>4</w:t>
            </w:r>
          </w:p>
        </w:tc>
        <w:tc>
          <w:tcPr>
            <w:tcW w:type="dxa" w:w="1872"/>
          </w:tcPr>
          <w:p>
            <w:pPr>
              <w:spacing w:after="60"/>
              <w:jc w:val="left"/>
            </w:pPr>
            <w:r>
              <w:rPr>
                <w:sz w:val="24"/>
              </w:rPr>
              <w:t>2.2.4</w:t>
            </w:r>
          </w:p>
        </w:tc>
        <w:tc>
          <w:tcPr>
            <w:tcW w:type="dxa" w:w="5976"/>
          </w:tcPr>
          <w:p>
            <w:pPr>
              <w:spacing w:after="60"/>
              <w:jc w:val="left"/>
            </w:pPr>
            <w:r>
              <w:rPr>
                <w:sz w:val="24"/>
              </w:rPr>
              <w:t>Compared graph-learning findings with network-derived tabular summaries; explained the auditability and scope rationale and the loss of graph information.</w:t>
            </w:r>
          </w:p>
        </w:tc>
      </w:tr>
      <w:tr>
        <w:trPr>
          <w:cantSplit/>
        </w:trPr>
        <w:tc>
          <w:tcPr>
            <w:tcW w:type="dxa" w:w="1224"/>
          </w:tcPr>
          <w:p>
            <w:pPr>
              <w:spacing w:after="60"/>
              <w:jc w:val="left"/>
            </w:pPr>
            <w:r>
              <w:rPr>
                <w:sz w:val="24"/>
              </w:rPr>
              <w:t>5</w:t>
            </w:r>
          </w:p>
        </w:tc>
        <w:tc>
          <w:tcPr>
            <w:tcW w:type="dxa" w:w="1872"/>
          </w:tcPr>
          <w:p>
            <w:pPr>
              <w:spacing w:after="60"/>
              <w:jc w:val="left"/>
            </w:pPr>
            <w:r>
              <w:rPr>
                <w:sz w:val="24"/>
              </w:rPr>
              <w:t>2.2.5; 2.2.14</w:t>
            </w:r>
          </w:p>
        </w:tc>
        <w:tc>
          <w:tcPr>
            <w:tcW w:type="dxa" w:w="5976"/>
          </w:tcPr>
          <w:p>
            <w:pPr>
              <w:spacing w:after="60"/>
              <w:jc w:val="left"/>
            </w:pPr>
            <w:r>
              <w:rPr>
                <w:sz w:val="24"/>
              </w:rPr>
              <w:t>Added Kenya–Tanzania interviews, African stakeholder research and Zimbabwean agent-policy analysis; identified the absence of classifier validation in those sources.</w:t>
            </w:r>
          </w:p>
        </w:tc>
      </w:tr>
      <w:tr>
        <w:trPr>
          <w:cantSplit/>
        </w:trPr>
        <w:tc>
          <w:tcPr>
            <w:tcW w:type="dxa" w:w="1224"/>
          </w:tcPr>
          <w:p>
            <w:pPr>
              <w:spacing w:after="60"/>
              <w:jc w:val="left"/>
            </w:pPr>
            <w:r>
              <w:rPr>
                <w:sz w:val="24"/>
              </w:rPr>
              <w:t>6</w:t>
            </w:r>
          </w:p>
        </w:tc>
        <w:tc>
          <w:tcPr>
            <w:tcW w:type="dxa" w:w="1872"/>
          </w:tcPr>
          <w:p>
            <w:pPr>
              <w:spacing w:after="60"/>
              <w:jc w:val="left"/>
            </w:pPr>
            <w:r>
              <w:rPr>
                <w:sz w:val="24"/>
              </w:rPr>
              <w:t>2.2.6; Table 2.1</w:t>
            </w:r>
          </w:p>
        </w:tc>
        <w:tc>
          <w:tcPr>
            <w:tcW w:type="dxa" w:w="5976"/>
          </w:tcPr>
          <w:p>
            <w:pPr>
              <w:spacing w:after="60"/>
              <w:jc w:val="left"/>
            </w:pPr>
            <w:r>
              <w:rPr>
                <w:sz w:val="24"/>
              </w:rPr>
              <w:t>Corrected the supervised-label contradiction; separated experimental reference labels, model predictions and independent rule alerts.</w:t>
            </w:r>
          </w:p>
        </w:tc>
      </w:tr>
      <w:tr>
        <w:trPr>
          <w:cantSplit/>
        </w:trPr>
        <w:tc>
          <w:tcPr>
            <w:tcW w:type="dxa" w:w="1224"/>
          </w:tcPr>
          <w:p>
            <w:pPr>
              <w:spacing w:after="60"/>
              <w:jc w:val="left"/>
            </w:pPr>
            <w:r>
              <w:rPr>
                <w:sz w:val="24"/>
              </w:rPr>
              <w:t>7</w:t>
            </w:r>
          </w:p>
        </w:tc>
        <w:tc>
          <w:tcPr>
            <w:tcW w:type="dxa" w:w="1872"/>
          </w:tcPr>
          <w:p>
            <w:pPr>
              <w:spacing w:after="60"/>
              <w:jc w:val="left"/>
            </w:pPr>
            <w:r>
              <w:rPr>
                <w:sz w:val="24"/>
              </w:rPr>
              <w:t>2.2.7</w:t>
            </w:r>
          </w:p>
        </w:tc>
        <w:tc>
          <w:tcPr>
            <w:tcW w:type="dxa" w:w="5976"/>
          </w:tcPr>
          <w:p>
            <w:pPr>
              <w:spacing w:after="60"/>
              <w:jc w:val="left"/>
            </w:pPr>
            <w:r>
              <w:rPr>
                <w:sz w:val="24"/>
              </w:rPr>
              <w:t>Retained algorithms only when discussing cited researchers; removed the project’s old candidate-selection and final-model assertions.</w:t>
            </w:r>
          </w:p>
        </w:tc>
      </w:tr>
      <w:tr>
        <w:trPr>
          <w:cantSplit/>
        </w:trPr>
        <w:tc>
          <w:tcPr>
            <w:tcW w:type="dxa" w:w="1224"/>
          </w:tcPr>
          <w:p>
            <w:pPr>
              <w:spacing w:after="60"/>
              <w:jc w:val="left"/>
            </w:pPr>
            <w:r>
              <w:rPr>
                <w:sz w:val="24"/>
              </w:rPr>
              <w:t>8</w:t>
            </w:r>
          </w:p>
        </w:tc>
        <w:tc>
          <w:tcPr>
            <w:tcW w:type="dxa" w:w="1872"/>
          </w:tcPr>
          <w:p>
            <w:pPr>
              <w:spacing w:after="60"/>
              <w:jc w:val="left"/>
            </w:pPr>
            <w:r>
              <w:rPr>
                <w:sz w:val="24"/>
              </w:rPr>
              <w:t>2.2.8</w:t>
            </w:r>
          </w:p>
        </w:tc>
        <w:tc>
          <w:tcPr>
            <w:tcW w:type="dxa" w:w="5976"/>
          </w:tcPr>
          <w:p>
            <w:pPr>
              <w:spacing w:after="60"/>
              <w:jc w:val="left"/>
            </w:pPr>
            <w:r>
              <w:rPr>
                <w:sz w:val="24"/>
              </w:rPr>
              <w:t>Used leakage literature to state evaluation requirements; reserved the project’s detailed mechanisms for Chapter 3.</w:t>
            </w:r>
          </w:p>
        </w:tc>
      </w:tr>
      <w:tr>
        <w:trPr>
          <w:cantSplit/>
        </w:trPr>
        <w:tc>
          <w:tcPr>
            <w:tcW w:type="dxa" w:w="1224"/>
          </w:tcPr>
          <w:p>
            <w:pPr>
              <w:spacing w:after="60"/>
              <w:jc w:val="left"/>
            </w:pPr>
            <w:r>
              <w:rPr>
                <w:sz w:val="24"/>
              </w:rPr>
              <w:t>9</w:t>
            </w:r>
          </w:p>
        </w:tc>
        <w:tc>
          <w:tcPr>
            <w:tcW w:type="dxa" w:w="1872"/>
          </w:tcPr>
          <w:p>
            <w:pPr>
              <w:spacing w:after="60"/>
              <w:jc w:val="left"/>
            </w:pPr>
            <w:r>
              <w:rPr>
                <w:sz w:val="24"/>
              </w:rPr>
              <w:t>2.2.9</w:t>
            </w:r>
          </w:p>
        </w:tc>
        <w:tc>
          <w:tcPr>
            <w:tcW w:type="dxa" w:w="5976"/>
          </w:tcPr>
          <w:p>
            <w:pPr>
              <w:spacing w:after="60"/>
              <w:jc w:val="left"/>
            </w:pPr>
            <w:r>
              <w:rPr>
                <w:sz w:val="24"/>
              </w:rPr>
              <w:t>Compared synthetic-data benefits and validity limits; removed project-specific dataset size and generation detail.</w:t>
            </w:r>
          </w:p>
        </w:tc>
      </w:tr>
      <w:tr>
        <w:trPr>
          <w:cantSplit/>
        </w:trPr>
        <w:tc>
          <w:tcPr>
            <w:tcW w:type="dxa" w:w="1224"/>
          </w:tcPr>
          <w:p>
            <w:pPr>
              <w:spacing w:after="60"/>
              <w:jc w:val="left"/>
            </w:pPr>
            <w:r>
              <w:rPr>
                <w:sz w:val="24"/>
              </w:rPr>
              <w:t>10</w:t>
            </w:r>
          </w:p>
        </w:tc>
        <w:tc>
          <w:tcPr>
            <w:tcW w:type="dxa" w:w="1872"/>
          </w:tcPr>
          <w:p>
            <w:pPr>
              <w:spacing w:after="60"/>
              <w:jc w:val="left"/>
            </w:pPr>
            <w:r>
              <w:rPr>
                <w:sz w:val="24"/>
              </w:rPr>
              <w:t>2.2.11</w:t>
            </w:r>
          </w:p>
        </w:tc>
        <w:tc>
          <w:tcPr>
            <w:tcW w:type="dxa" w:w="5976"/>
          </w:tcPr>
          <w:p>
            <w:pPr>
              <w:spacing w:after="60"/>
              <w:jc w:val="left"/>
            </w:pPr>
            <w:r>
              <w:rPr>
                <w:sz w:val="24"/>
              </w:rPr>
              <w:t>Added academic explanation and investigator-support evidence; distinguished model attribution, rule explanation and historical context.</w:t>
            </w:r>
          </w:p>
        </w:tc>
      </w:tr>
      <w:tr>
        <w:trPr>
          <w:cantSplit/>
        </w:trPr>
        <w:tc>
          <w:tcPr>
            <w:tcW w:type="dxa" w:w="1224"/>
          </w:tcPr>
          <w:p>
            <w:pPr>
              <w:spacing w:after="60"/>
              <w:jc w:val="left"/>
            </w:pPr>
            <w:r>
              <w:rPr>
                <w:sz w:val="24"/>
              </w:rPr>
              <w:t>11</w:t>
            </w:r>
          </w:p>
        </w:tc>
        <w:tc>
          <w:tcPr>
            <w:tcW w:type="dxa" w:w="1872"/>
          </w:tcPr>
          <w:p>
            <w:pPr>
              <w:spacing w:after="60"/>
              <w:jc w:val="left"/>
            </w:pPr>
            <w:r>
              <w:rPr>
                <w:sz w:val="24"/>
              </w:rPr>
              <w:t>2.2.12</w:t>
            </w:r>
          </w:p>
        </w:tc>
        <w:tc>
          <w:tcPr>
            <w:tcW w:type="dxa" w:w="5976"/>
          </w:tcPr>
          <w:p>
            <w:pPr>
              <w:spacing w:after="60"/>
              <w:jc w:val="left"/>
            </w:pPr>
            <w:r>
              <w:rPr>
                <w:sz w:val="24"/>
              </w:rPr>
              <w:t>Discussed timeliness and measurement boundaries without describing the application’s detailed processing sequence.</w:t>
            </w:r>
          </w:p>
        </w:tc>
      </w:tr>
      <w:tr>
        <w:trPr>
          <w:cantSplit/>
        </w:trPr>
        <w:tc>
          <w:tcPr>
            <w:tcW w:type="dxa" w:w="1224"/>
          </w:tcPr>
          <w:p>
            <w:pPr>
              <w:spacing w:after="60"/>
              <w:jc w:val="left"/>
            </w:pPr>
            <w:r>
              <w:rPr>
                <w:sz w:val="24"/>
              </w:rPr>
              <w:t>12</w:t>
            </w:r>
          </w:p>
        </w:tc>
        <w:tc>
          <w:tcPr>
            <w:tcW w:type="dxa" w:w="1872"/>
          </w:tcPr>
          <w:p>
            <w:pPr>
              <w:spacing w:after="60"/>
              <w:jc w:val="left"/>
            </w:pPr>
            <w:r>
              <w:rPr>
                <w:sz w:val="24"/>
              </w:rPr>
              <w:t>2.2.13</w:t>
            </w:r>
          </w:p>
        </w:tc>
        <w:tc>
          <w:tcPr>
            <w:tcW w:type="dxa" w:w="5976"/>
          </w:tcPr>
          <w:p>
            <w:pPr>
              <w:spacing w:after="60"/>
              <w:jc w:val="left"/>
            </w:pPr>
            <w:r>
              <w:rPr>
                <w:sz w:val="24"/>
              </w:rPr>
              <w:t>Strengthened peer-reviewed African evidence and regional AML context; stated the specific regional evidence gap.</w:t>
            </w:r>
          </w:p>
        </w:tc>
      </w:tr>
      <w:tr>
        <w:trPr>
          <w:cantSplit/>
        </w:trPr>
        <w:tc>
          <w:tcPr>
            <w:tcW w:type="dxa" w:w="1224"/>
          </w:tcPr>
          <w:p>
            <w:pPr>
              <w:spacing w:after="60"/>
              <w:jc w:val="left"/>
            </w:pPr>
            <w:r>
              <w:rPr>
                <w:sz w:val="24"/>
              </w:rPr>
              <w:t>13</w:t>
            </w:r>
          </w:p>
        </w:tc>
        <w:tc>
          <w:tcPr>
            <w:tcW w:type="dxa" w:w="1872"/>
          </w:tcPr>
          <w:p>
            <w:pPr>
              <w:spacing w:after="60"/>
              <w:jc w:val="left"/>
            </w:pPr>
            <w:r>
              <w:rPr>
                <w:sz w:val="24"/>
              </w:rPr>
              <w:t>2.2.14</w:t>
            </w:r>
          </w:p>
        </w:tc>
        <w:tc>
          <w:tcPr>
            <w:tcW w:type="dxa" w:w="5976"/>
          </w:tcPr>
          <w:p>
            <w:pPr>
              <w:spacing w:after="60"/>
              <w:jc w:val="left"/>
            </w:pPr>
            <w:r>
              <w:rPr>
                <w:sz w:val="24"/>
              </w:rPr>
              <w:t>Made Zimbabwe the final narrowing point; compared legal scholarship and the 2026 banking graph study without claiming no prior local AML research.</w:t>
            </w:r>
          </w:p>
        </w:tc>
      </w:tr>
      <w:tr>
        <w:trPr>
          <w:cantSplit/>
        </w:trPr>
        <w:tc>
          <w:tcPr>
            <w:tcW w:type="dxa" w:w="1224"/>
          </w:tcPr>
          <w:p>
            <w:pPr>
              <w:spacing w:after="60"/>
              <w:jc w:val="left"/>
            </w:pPr>
            <w:r>
              <w:rPr>
                <w:sz w:val="24"/>
              </w:rPr>
              <w:t>14</w:t>
            </w:r>
          </w:p>
        </w:tc>
        <w:tc>
          <w:tcPr>
            <w:tcW w:type="dxa" w:w="1872"/>
          </w:tcPr>
          <w:p>
            <w:pPr>
              <w:spacing w:after="60"/>
              <w:jc w:val="left"/>
            </w:pPr>
            <w:r>
              <w:rPr>
                <w:sz w:val="24"/>
              </w:rPr>
              <w:t>2.4</w:t>
            </w:r>
          </w:p>
        </w:tc>
        <w:tc>
          <w:tcPr>
            <w:tcW w:type="dxa" w:w="5976"/>
          </w:tcPr>
          <w:p>
            <w:pPr>
              <w:spacing w:after="60"/>
              <w:jc w:val="left"/>
            </w:pPr>
            <w:r>
              <w:rPr>
                <w:sz w:val="24"/>
              </w:rPr>
              <w:t>Reduced proposed work to two paragraphs explaining the bounded response; retained the separately required feasibility analysis.</w:t>
            </w:r>
          </w:p>
        </w:tc>
      </w:tr>
    </w:tbl>
    <w:p>
      <w:pPr>
        <w:spacing w:after="0"/>
      </w:pPr>
    </w:p>
    <w:p>
      <w:pPr>
        <w:pStyle w:val="Heading2"/>
      </w:pPr>
      <w:r>
        <w:t>2. Guideline and Reference Corrections</w:t>
      </w:r>
    </w:p>
    <w:p>
      <w:r>
        <w:t>The chapter retains the required Introduction, Analysis of Related Work, Gaps Identified, Proposed Work, Feasibility Analysis and Summary structure. It includes technical, economic, social and operational feasibility, with the missing 2.4.1.1 heading restored. Tables are numbered by chapter and captioned above. The document uses Times New Roman 12-point text, 14-point chapter headings, bold numbered subheadings, 1.5 body spacing, single-spaced captions and Arabic body-page numbers. The supplied student identities were preserved; unsupplied full-dissertation cover details were not invented.</w:t>
      </w:r>
    </w:p>
    <w:p>
      <w:r>
        <w:t>References were checked against publisher, author, university or institutional sources. Both Zimbabwe mobile-money articles were corrected to Howard Chitimira and Elfas Torerai; the 2023 article’s journal was corrected to De Jure. James Whisker’s initial was corrected. The 2015 social-network source was removed to meet the ten-year recency requirement. The revised reference set spans 2019–2026. The ESAAMLG report was distinguished from an effectiveness evaluation.</w:t>
      </w:r>
    </w:p>
    <w:p>
      <w:r>
        <w:t>The chapter uses a complete IEEE-style reference list numbered in order of first citation within this standalone document. When assembling the full dissertation, merge duplicate sources with the Chapter 1 bibliography and renumber citations globally; do not paste two independently numbered lists into one master reference section.</w:t>
      </w:r>
    </w:p>
    <w:p>
      <w:pPr>
        <w:pStyle w:val="Heading2"/>
      </w:pPr>
      <w:r>
        <w:t>3. Alignment and Evidence Boundaries</w:t>
      </w:r>
    </w:p>
    <w:p>
      <w:r>
        <w:t>The proposed work refers to the corrected Chapter 1’s five SMART objectives and 12-week schedule. No old feature counts, dataset dimensions, selected Gradient Boosting model or 0.35 threshold were carried into the literature review. Detailed V4 implementation facts remain matters for Chapters 3 and 4. Those chapters were not edited by this revision.</w:t>
      </w:r>
    </w:p>
    <w:p>
      <w:r>
        <w:t>The chapter does not invent model results, stakeholder studies, measured cost savings or regulatory approval. The US$0 additional procurement assumption covers reuse of existing hardware and the open-source application stack only. Unmeasured utility costs, staff effort, latency, fairness and operator-scale performance are identified as evidence boundaries. This editing task did not retrain models, change the application or execute database transactions.</w:t>
      </w:r>
    </w:p>
    <w:sectPr w:rsidR="00FC693F" w:rsidRPr="0006063C" w:rsidSect="00034616">
      <w:footerReference w:type="default" r:id="rId9"/>
      <w:pgSz w:w="11909" w:h="16834"/>
      <w:pgMar w:top="1152" w:right="122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Supervisor Corrections Record</dc:title>
  <dc:subject>Responses to Chapter 2 supervisor comments</dc:subject>
  <dc:creator>Prominance Fungurayi; Ashton Kahlari</dc:creator>
  <cp:keywords/>
  <dc:description>generated by python-docx</dc:description>
  <cp:lastModifiedBy/>
  <cp:revision>1</cp:revision>
  <dcterms:created xsi:type="dcterms:W3CDTF">2013-12-23T23:15:00Z</dcterms:created>
  <dcterms:modified xsi:type="dcterms:W3CDTF">2013-12-23T23:15:00Z</dcterms:modified>
  <cp:category/>
</cp:coreProperties>
</file>