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71E65" w14:textId="77777777" w:rsidR="00E84CB8" w:rsidRDefault="00555225" w:rsidP="00555225">
      <w:pPr>
        <w:keepNext/>
        <w:spacing w:line="240" w:lineRule="auto"/>
        <w:jc w:val="center"/>
        <w:rPr>
          <w:b/>
          <w:bCs/>
        </w:rPr>
      </w:pPr>
      <w:r>
        <w:rPr>
          <w:noProof/>
        </w:rPr>
        <w:drawing>
          <wp:inline distT="0" distB="0" distL="0" distR="0" wp14:anchorId="3EDB18C2" wp14:editId="76518FB5">
            <wp:extent cx="3203893" cy="3421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840" cy="3440545"/>
                    </a:xfrm>
                    <a:prstGeom prst="rect">
                      <a:avLst/>
                    </a:prstGeom>
                    <a:noFill/>
                    <a:ln>
                      <a:noFill/>
                    </a:ln>
                  </pic:spPr>
                </pic:pic>
              </a:graphicData>
            </a:graphic>
          </wp:inline>
        </w:drawing>
      </w:r>
    </w:p>
    <w:p w14:paraId="0D75D57F" w14:textId="77777777" w:rsidR="0067204D" w:rsidRDefault="00000000">
      <w:pPr>
        <w:pStyle w:val="Heading1"/>
        <w:spacing w:before="0" w:after="320"/>
        <w:jc w:val="center"/>
      </w:pPr>
      <w:r>
        <w:t>CHAPTER 1: INTRODUCTION</w:t>
      </w:r>
    </w:p>
    <w:p w14:paraId="7C8C2394" w14:textId="77777777" w:rsidR="0067204D" w:rsidRDefault="00000000" w:rsidP="007603E1">
      <w:pPr>
        <w:spacing w:before="0" w:after="320"/>
      </w:pPr>
      <w:r>
        <w:t xml:space="preserve">Prominance Fungurayi: </w:t>
      </w:r>
      <w:r w:rsidR="001B72DE">
        <w:tab/>
      </w:r>
      <w:r>
        <w:t>R251946T</w:t>
      </w:r>
    </w:p>
    <w:p w14:paraId="273DD8AE" w14:textId="77777777" w:rsidR="007603E1" w:rsidRDefault="00000000" w:rsidP="007603E1">
      <w:pPr>
        <w:spacing w:before="0" w:after="320"/>
      </w:pPr>
      <w:r>
        <w:t xml:space="preserve">Ashton </w:t>
      </w:r>
      <w:proofErr w:type="spellStart"/>
      <w:r>
        <w:t>Kahlari</w:t>
      </w:r>
      <w:proofErr w:type="spellEnd"/>
      <w:r>
        <w:t xml:space="preserve">: </w:t>
      </w:r>
      <w:r w:rsidR="001B72DE">
        <w:tab/>
      </w:r>
      <w:r w:rsidR="001B72DE">
        <w:tab/>
      </w:r>
      <w:r>
        <w:t>R252989W</w:t>
      </w:r>
    </w:p>
    <w:p w14:paraId="0AAE650E" w14:textId="77777777" w:rsidR="00BB2286" w:rsidRDefault="00BB2286" w:rsidP="007603E1"/>
    <w:p w14:paraId="5F677565" w14:textId="77777777" w:rsidR="00BB2286" w:rsidRDefault="00BB2286" w:rsidP="007603E1"/>
    <w:p w14:paraId="1F0F7D15" w14:textId="77777777" w:rsidR="00BB2286" w:rsidRDefault="00BB2286" w:rsidP="007603E1"/>
    <w:p w14:paraId="303E5CDB" w14:textId="77777777" w:rsidR="00BB2286" w:rsidRDefault="00BB2286" w:rsidP="007603E1"/>
    <w:p w14:paraId="637D094F" w14:textId="77777777" w:rsidR="00BB2286" w:rsidRDefault="00BB2286" w:rsidP="007603E1"/>
    <w:p w14:paraId="4EDB0E0A" w14:textId="77777777" w:rsidR="00BB2286" w:rsidRDefault="00BB2286" w:rsidP="007603E1"/>
    <w:p w14:paraId="44B67684" w14:textId="77777777" w:rsidR="00BB2286" w:rsidRDefault="00BB2286" w:rsidP="007603E1"/>
    <w:p w14:paraId="26ED7A79" w14:textId="77777777" w:rsidR="00BB2286" w:rsidRDefault="00BB2286" w:rsidP="007603E1"/>
    <w:p w14:paraId="7F804999" w14:textId="77777777" w:rsidR="00BB2286" w:rsidRDefault="00BB2286" w:rsidP="007603E1"/>
    <w:p w14:paraId="77946405" w14:textId="77777777" w:rsidR="00BB2286" w:rsidRDefault="00BB2286" w:rsidP="007603E1"/>
    <w:p w14:paraId="12CE1452" w14:textId="77777777" w:rsidR="00BB2286" w:rsidRPr="00BB2286" w:rsidRDefault="00BB2286" w:rsidP="00BB2286">
      <w:pPr>
        <w:pStyle w:val="Heading1"/>
        <w:spacing w:before="0" w:after="320"/>
        <w:rPr>
          <w:lang w:val="en-ZW"/>
        </w:rPr>
      </w:pPr>
      <w:r w:rsidRPr="00BB2286">
        <w:rPr>
          <w:lang w:val="en-ZW"/>
        </w:rPr>
        <w:lastRenderedPageBreak/>
        <w:t>CHAPTER 1</w:t>
      </w:r>
    </w:p>
    <w:p w14:paraId="06EE550D" w14:textId="77777777" w:rsidR="00BB2286" w:rsidRPr="00BB2286" w:rsidRDefault="00BB2286" w:rsidP="00BB2286">
      <w:pPr>
        <w:pStyle w:val="Heading2"/>
        <w:spacing w:before="0" w:after="320"/>
        <w:rPr>
          <w:lang w:val="en-ZW"/>
        </w:rPr>
      </w:pPr>
      <w:r w:rsidRPr="00BB2286">
        <w:rPr>
          <w:lang w:val="en-ZW"/>
        </w:rPr>
        <w:t>1.1 Introduction</w:t>
      </w:r>
    </w:p>
    <w:p w14:paraId="00417D3D" w14:textId="77777777" w:rsidR="00D83F73" w:rsidRDefault="00000000">
      <w:pPr>
        <w:spacing w:before="0" w:after="320"/>
      </w:pPr>
      <w:r>
        <w:t>Mobile money supports access to financial services through Cash-In, Cash-Out and wallet-to-wallet transfers [1]. Zimbabwe’s financial-inclusion policy recognises the role of digital financial services [2]. Machine-learning methods can supplement anti-money laundering (AML) transaction monitoring by prioritising patterns for human investigation [3]. This study developed a real-time mobile-money AML decision-support system for the Zimbabwean context, examining structuring, wallet/transaction-network relationships and agent activity.</w:t>
      </w:r>
    </w:p>
    <w:p w14:paraId="6B6E3266" w14:textId="77777777" w:rsidR="00D83F73" w:rsidRDefault="00000000">
      <w:pPr>
        <w:spacing w:before="0" w:after="320"/>
      </w:pPr>
      <w:r>
        <w:t>This chapter introduces the background, research problem and aim, presents five SMART objectives, and defines the study’s limitations and delimitations. It also describes the development instruments, twelve-week work plan and justification. Suspicious-pattern classifications support authorised investigation; they do not establish that money laundering occurred.</w:t>
      </w:r>
    </w:p>
    <w:p w14:paraId="7D905775" w14:textId="77777777" w:rsidR="00BB2286" w:rsidRPr="00BB2286" w:rsidRDefault="00BB2286" w:rsidP="00BB2286">
      <w:pPr>
        <w:pStyle w:val="Heading2"/>
        <w:spacing w:before="0" w:after="320"/>
        <w:rPr>
          <w:lang w:val="en-ZW"/>
        </w:rPr>
      </w:pPr>
      <w:r w:rsidRPr="00BB2286">
        <w:rPr>
          <w:lang w:val="en-ZW"/>
        </w:rPr>
        <w:t>1.2 Background of the Study</w:t>
      </w:r>
    </w:p>
    <w:p w14:paraId="25781B04" w14:textId="77777777" w:rsidR="002951D5" w:rsidRDefault="003D588A" w:rsidP="00BB2286">
      <w:pPr>
        <w:spacing w:before="0" w:after="320"/>
      </w:pPr>
      <w:r>
        <w:t>Mobile money is an important component of digital financial services. Wallets enable Cash-In, Cash-Out and wallet-to-wallet payments, while agents connect digital value with cash. GSMA describes the expansion of mobile-money services and their importance in Sub-Saharan Africa [1]. In Zimbabwe, the National Financial Inclusion Strategy II (2022–2026) identifies access to suitable financial services as a national priority [2]. These benefits make proportionate financial-crime monitoring relevant to both financial inclusion and financial-system integrity.</w:t>
      </w:r>
    </w:p>
    <w:p w14:paraId="0BB13782" w14:textId="77777777" w:rsidR="00D83F73" w:rsidRDefault="00000000">
      <w:pPr>
        <w:spacing w:before="0" w:after="320"/>
      </w:pPr>
      <w:r>
        <w:t>Suspicious activity can emerge across related payments rather than in the value of one payment alone. Repeated transfers, concentrated counterparties, rapid onward movement of value and changes in agent activity can supply investigation leads. FATF explains that a risk-based approach identifies, assesses and understands money-laundering and terrorist-financing risks, and applies measures proportionate to those risks [4]. Monitoring must therefore retain transaction context and support authorised investigation rather than treat every unusual payment as proof of wrongdoing.</w:t>
      </w:r>
    </w:p>
    <w:p w14:paraId="28AB1B8B" w14:textId="77777777" w:rsidR="00D83F73" w:rsidRDefault="00000000">
      <w:pPr>
        <w:spacing w:before="0" w:after="320"/>
      </w:pPr>
      <w:r>
        <w:t xml:space="preserve">The research considered structuring, wallet/transaction-network behaviour and agent behaviour as three analytical dimensions. Structuring refers to dividing a larger value into smaller linked transactions to evade reporting or identification requirements [5]. The system examined transaction frequency, repeated amounts, cumulative values and timing as </w:t>
      </w:r>
      <w:r>
        <w:lastRenderedPageBreak/>
        <w:t>structuring-related indicators. Wallet/network behaviour concerned relationships and value flows among wallets, including concentration, reciprocal flows and pass-through activity. Agent behaviour concerned Cash-In and Cash-Out service activity, the wallets interacting with an agent, concentration and changes over time. These behavioural indicators supported investigation and did not establish criminal intent.</w:t>
      </w:r>
    </w:p>
    <w:p w14:paraId="474C6881" w14:textId="77777777" w:rsidR="00D83F73" w:rsidRDefault="00000000">
      <w:pPr>
        <w:spacing w:before="0" w:after="320"/>
      </w:pPr>
      <w:r>
        <w:t>The frozen V4 feature contract comprises forty semantic input fields: two current-transaction context fields, ten structuring fields, twelve wallet/network fields, fourteen agent fields and two coverage fields. Categorical encoding expands these to forty-two estimator columns. Chapter 3 explains the feature definitions, calculations and historical construction used by the frozen classifier.</w:t>
      </w:r>
    </w:p>
    <w:p w14:paraId="595201DE" w14:textId="77777777" w:rsidR="00D83F73" w:rsidRDefault="00000000">
      <w:pPr>
        <w:spacing w:before="0" w:after="320"/>
      </w:pPr>
      <w:r>
        <w:t>Machine-learning research identifies opportunities to prioritise transactions for investigation, together with difficulties caused by class imbalance, limited labels and evaluation design [3], [6]. No operational mobile-money dataset was available to this study. V4 development therefore used controlled synthetic records labelled as normal or suspicious-pattern transactions, rather than confirmed money-laundering cases. The class composition reflected designed scenarios and observable benchmark labels, not the actual prevalence of suspicious transactions in Zimbabwe. Chapter 3 details the development data and evaluation design; Chapter 4 reports the resulting evidence.</w:t>
      </w:r>
    </w:p>
    <w:p w14:paraId="3A1E75CB" w14:textId="77777777" w:rsidR="00D83F73" w:rsidRDefault="00000000">
      <w:pPr>
        <w:spacing w:before="0" w:after="320"/>
      </w:pPr>
      <w:r>
        <w:t>The selected primary classifier was XGBoost. Its frozen V4 pipeline returns a suspicious-pattern probability and applies the predeclared classification threshold of 0.50. The model artifact, feature order and threshold remain unchanged during application use. Chapter 3 explains the model-selection process and threshold policy, while Chapter 4 presents the recorded evaluation results. Synthetic evaluation does not establish performance on operational mobile-money transactions.</w:t>
      </w:r>
    </w:p>
    <w:p w14:paraId="3D99C5E9" w14:textId="77777777" w:rsidR="00D83F73" w:rsidRDefault="00000000">
      <w:pPr>
        <w:spacing w:before="0" w:after="320"/>
      </w:pPr>
      <w:r>
        <w:t>The application integrates the frozen classifier with independent AML rules, customer payments, compliance review, reports and real-time communication. AI and rule findings remain separately identifiable for authorised human investigation. Analytical failures remain explicit and do not alter a completed payment or silently substitute the archived Stage14 model. Chapter 3 describes the processing and history-verification sequence.</w:t>
      </w:r>
    </w:p>
    <w:p w14:paraId="4F4A5B54" w14:textId="77777777" w:rsidR="00D83F73" w:rsidRDefault="00000000">
      <w:pPr>
        <w:spacing w:before="0" w:after="320"/>
      </w:pPr>
      <w:r>
        <w:t xml:space="preserve">For application demonstrations, the transaction generation module uses existing and newly created customer wallets, subject to transaction validity and available funds. Observed customer histories inform the simulated patterns, while limited histories are identified </w:t>
      </w:r>
      <w:r>
        <w:lastRenderedPageBreak/>
        <w:t>explicitly. Designed routine and suspicious scenarios are distinct from the decisions produced by V4 and the independent rules. Chapter 3 explains the generation procedure.</w:t>
      </w:r>
    </w:p>
    <w:p w14:paraId="729E7DA1" w14:textId="77777777" w:rsidR="00D83F73" w:rsidRDefault="00000000">
      <w:pPr>
        <w:spacing w:before="0" w:after="320"/>
      </w:pPr>
      <w:r>
        <w:t>The preliminary literature indicated that statistical and machine-learning methods could support transaction prioritisation, but that their usefulness depended on the underlying data and the process through which investigators received the results [3], [6]. This study therefore addressed an integration gap rather than proposing that a classifier alone solved AML monitoring. The payment ledger, historical feature calculation, model decision, rule evidence and investigation outcome needed to refer to the same identifiable event. Demonstrable transaction patterns also required a generation process that respected established customer histories and financial constraints. These requirements connected the five functional objectives and provided a basis for evaluating the completed application.</w:t>
      </w:r>
    </w:p>
    <w:p w14:paraId="45467AB4" w14:textId="77777777" w:rsidR="00BB2286" w:rsidRPr="00BB2286" w:rsidRDefault="00BB2286" w:rsidP="00BB2286">
      <w:pPr>
        <w:pStyle w:val="Heading2"/>
        <w:spacing w:before="0" w:after="320"/>
        <w:rPr>
          <w:lang w:val="en-ZW"/>
        </w:rPr>
      </w:pPr>
      <w:r w:rsidRPr="00BB2286">
        <w:rPr>
          <w:lang w:val="en-ZW"/>
        </w:rPr>
        <w:t>1.3 Problem Definition</w:t>
      </w:r>
    </w:p>
    <w:p w14:paraId="3BDE36EA" w14:textId="77777777" w:rsidR="002951D5" w:rsidRDefault="0033312F" w:rsidP="00BB2286">
      <w:pPr>
        <w:spacing w:before="0" w:after="320"/>
      </w:pPr>
      <w:r>
        <w:t>Suspicious mobile-money behaviour can be distributed across several payments, related wallets and agent interactions, making isolated transaction inspection insufficient for identifying the wider pattern. A monitoring process is therefore required that preserves the payment history, examines earlier behaviour, distinguishes model findings from independent rule indicators and presents coherent evidence for authorised investigation. The research addressed this coordination problem through an integrated transaction generation, behavioural assessment, real-time monitoring and communication workflow. The resulting classifications support investigation; they do not establish that a customer committed money laundering.</w:t>
      </w:r>
    </w:p>
    <w:p w14:paraId="56ED7B95" w14:textId="77777777" w:rsidR="00BB2286" w:rsidRPr="00BB2286" w:rsidRDefault="00BB2286" w:rsidP="00BB2286">
      <w:pPr>
        <w:pStyle w:val="Heading2"/>
        <w:spacing w:before="0" w:after="320"/>
        <w:rPr>
          <w:lang w:val="en-ZW"/>
        </w:rPr>
      </w:pPr>
      <w:r w:rsidRPr="00BB2286">
        <w:rPr>
          <w:lang w:val="en-ZW"/>
        </w:rPr>
        <w:t>1.4 Aim</w:t>
      </w:r>
    </w:p>
    <w:p w14:paraId="6FAAF564" w14:textId="77777777" w:rsidR="002951D5" w:rsidRDefault="00E72482" w:rsidP="00BB2286">
      <w:pPr>
        <w:spacing w:before="0" w:after="320"/>
      </w:pPr>
      <w:r>
        <w:t>To develop and evaluate a real-time mobile-money AML decision-support system for the Zimbabwean context that integrates history-aware transaction generation, frozen XGBoost assessment, independent rules, authorised investigation and professional communication.</w:t>
      </w:r>
    </w:p>
    <w:p w14:paraId="0C94FD9C" w14:textId="77777777" w:rsidR="00BB2286" w:rsidRPr="00BB2286" w:rsidRDefault="00BB2286" w:rsidP="00BB2286">
      <w:pPr>
        <w:pStyle w:val="Heading2"/>
        <w:spacing w:before="0" w:after="320"/>
        <w:rPr>
          <w:lang w:val="en-ZW"/>
        </w:rPr>
      </w:pPr>
      <w:r>
        <w:t>1.5 SMART Research Objectives</w:t>
      </w:r>
    </w:p>
    <w:p w14:paraId="4AD1FBF3" w14:textId="77777777" w:rsidR="00BB2286" w:rsidRPr="00BB2286" w:rsidRDefault="00BB2286" w:rsidP="00BB2286">
      <w:pPr>
        <w:spacing w:before="0" w:after="320"/>
        <w:rPr>
          <w:lang w:val="en-ZW"/>
        </w:rPr>
      </w:pPr>
      <w:r>
        <w:t>The five objectives below are Specific, Measurable, Achievable, Relevant and Time-sensitive (SMART). The twelve-week deadlines describe development completion; the separate execution limits are acceptance targets for a prepared local panel demonstration. They must be timed and recorded during demonstration rather than presented as already measured service levels.</w:t>
      </w:r>
    </w:p>
    <w:p w14:paraId="74BB6E8B" w14:textId="561C5194" w:rsidR="00D83F73" w:rsidRDefault="00000000">
      <w:pPr>
        <w:spacing w:before="0" w:after="320"/>
      </w:pPr>
      <w:r>
        <w:t>1. To develop</w:t>
      </w:r>
      <w:r w:rsidR="001D7C88">
        <w:t xml:space="preserve"> </w:t>
      </w:r>
      <w:r>
        <w:t xml:space="preserve">a transaction generation module that simulates real-world mobile-money transaction patterns using existing customer histories, and to demonstrate the saving of ten </w:t>
      </w:r>
      <w:r>
        <w:lastRenderedPageBreak/>
        <w:t>valid transactions with a 70% routine and 30% suspicious-scenario mix within three minutes, while preserving wallet-balance reconciliation and unique transaction identities.</w:t>
      </w:r>
    </w:p>
    <w:p w14:paraId="558CBF75" w14:textId="0FFBEF5E" w:rsidR="00D83F73" w:rsidRDefault="00000000">
      <w:pPr>
        <w:spacing w:before="0" w:after="320"/>
      </w:pPr>
      <w:r>
        <w:t>2. To implement</w:t>
      </w:r>
      <w:r w:rsidR="00804653">
        <w:t xml:space="preserve"> </w:t>
      </w:r>
      <w:r>
        <w:t>a real-time engine using Redis and WebSockets that delivers an authorised transaction or alert update across two application instances within five seconds during the panel demonstration, while excluding unauthorised users.</w:t>
      </w:r>
    </w:p>
    <w:p w14:paraId="1399DA2D" w14:textId="1EF62473" w:rsidR="00D83F73" w:rsidRDefault="00000000">
      <w:pPr>
        <w:spacing w:before="0" w:after="320"/>
      </w:pPr>
      <w:r>
        <w:t>3. To develop a compliance dashboard through which an authorised compliance officer can review a flagged transaction, examine its recorded AI reasoning and separate rule findings, and record an investigation outcome</w:t>
      </w:r>
    </w:p>
    <w:p w14:paraId="1053AEB1" w14:textId="4B9820BD" w:rsidR="00D83F73" w:rsidRDefault="00000000">
      <w:pPr>
        <w:spacing w:before="0" w:after="320"/>
      </w:pPr>
      <w:r>
        <w:t>4. To develop</w:t>
      </w:r>
      <w:r w:rsidR="00856410">
        <w:t xml:space="preserve"> </w:t>
      </w:r>
      <w:r>
        <w:t>a risk-scoring mechanism by training and evaluating an XGBoost classifier and integrating its frozen predictions with independent AML rules; and to demonstrate the combined risk assessment and separately identified AI and rule findings for one committed transaction.</w:t>
      </w:r>
    </w:p>
    <w:p w14:paraId="75617492" w14:textId="3FCECD90" w:rsidR="00D83F73" w:rsidRDefault="00000000">
      <w:pPr>
        <w:spacing w:before="0" w:after="320"/>
      </w:pPr>
      <w:r>
        <w:t xml:space="preserve">5. To develop a real-time professional messaging dashboard that enables bidirectional customer-compliance and compliance-administrator communication, and to demonstrate one persisted message and reply for each authorised pair, with sent, delivered and read receipts, within </w:t>
      </w:r>
      <w:r w:rsidR="008D49FA">
        <w:t>3</w:t>
      </w:r>
      <w:r w:rsidR="00B67F89">
        <w:t xml:space="preserve"> seconds</w:t>
      </w:r>
      <w:r>
        <w:t xml:space="preserve"> per pair.</w:t>
      </w:r>
    </w:p>
    <w:p w14:paraId="58E30479" w14:textId="77777777" w:rsidR="00B02DAE" w:rsidRDefault="00B02DAE"/>
    <w:p w14:paraId="36C1EEB0" w14:textId="77777777" w:rsidR="00BB2286" w:rsidRPr="00BB2286" w:rsidRDefault="00BB2286" w:rsidP="00BB2286">
      <w:pPr>
        <w:pStyle w:val="Heading2"/>
        <w:spacing w:before="0" w:after="320"/>
        <w:rPr>
          <w:lang w:val="en-ZW"/>
        </w:rPr>
      </w:pPr>
      <w:r w:rsidRPr="00BB2286">
        <w:rPr>
          <w:lang w:val="en-ZW"/>
        </w:rPr>
        <w:t>1.6 Limitations</w:t>
      </w:r>
    </w:p>
    <w:p w14:paraId="48EEB446" w14:textId="77777777" w:rsidR="00BB2286" w:rsidRPr="00BB2286" w:rsidRDefault="00BB2286" w:rsidP="00BB2286">
      <w:pPr>
        <w:spacing w:before="0" w:after="320"/>
        <w:rPr>
          <w:lang w:val="en-ZW"/>
        </w:rPr>
      </w:pPr>
      <w:r w:rsidRPr="00BB2286">
        <w:rPr>
          <w:lang w:val="en-ZW"/>
        </w:rPr>
        <w:t>The research was subject to the following limitations:</w:t>
      </w:r>
    </w:p>
    <w:p w14:paraId="0886AF35" w14:textId="77777777" w:rsidR="00E53D29" w:rsidRDefault="00E53D29" w:rsidP="002951D5">
      <w:pPr>
        <w:spacing w:before="0" w:after="320"/>
        <w:ind w:left="720"/>
      </w:pPr>
      <w:r>
        <w:t>1. Synthetic transaction data: Model development and evaluation used controlled synthetic records. Designed scenarios supported reproducible experimentation but could not reproduce every characteristic of an operational mobile-money environment, including the full diversity of customer behaviour and transaction relationships. Scenario definitions and recorded labels made the experiments inspectable, while the interpretation of results remained limited to the synthetic populations evaluated.</w:t>
      </w:r>
    </w:p>
    <w:p w14:paraId="31FC4C90" w14:textId="77777777" w:rsidR="00E53D29" w:rsidRDefault="00E53D29" w:rsidP="002951D5">
      <w:pPr>
        <w:spacing w:before="0" w:after="320"/>
        <w:ind w:left="720"/>
      </w:pPr>
      <w:r>
        <w:t>2. Lack of operational-data validation: The machine-learning model was not trained or tested with operational mobile-money transaction data. Its synthetic results therefore could not automatically be generalised to actual customer transactions. The study reported the development population and metrics separately from any independent test, and treated representative operational-data validation as further work rather than an achieved outcome.</w:t>
      </w:r>
    </w:p>
    <w:p w14:paraId="3711EEA7" w14:textId="77777777" w:rsidR="00E53D29" w:rsidRDefault="00E53D29" w:rsidP="002951D5">
      <w:pPr>
        <w:spacing w:before="0" w:after="320"/>
        <w:ind w:left="720"/>
      </w:pPr>
      <w:r>
        <w:lastRenderedPageBreak/>
        <w:t>3. False positives and false negatives: The classifier could miss suspicious-pattern transactions and flag normal transactions. The system therefore presented model findings for authorised review rather than treating them as proof of money laundering. The application retained independent rule findings and an authorised investigation workflow so that the model was one source of evidence. Family-level evaluation exposed weak and sparsely represented patterns. Analysts could examine the transaction history and record an outcome, while the frozen model and threshold remained unchanged.</w:t>
      </w:r>
    </w:p>
    <w:p w14:paraId="45FD5B4D" w14:textId="77777777" w:rsidR="00E53D29" w:rsidRDefault="00E53D29" w:rsidP="002951D5">
      <w:pPr>
        <w:spacing w:before="0" w:after="320"/>
        <w:ind w:left="720"/>
      </w:pPr>
      <w:r>
        <w:t>4. Limited computational resources: Development used a local Intel Core i5-9400H workstation with 16 GB installed-class memory. The recorded model-training configuration used one training thread and a predeclared, bounded plan of candidate fits and repeat runs. The experimental scope was consequently the documented set of comparisons, rather than an unrestricted hyperparameter search. Application inference reused the completed frozen pipeline. Neither these resource specifications nor a large immediate simulation batch established a measured single-transaction response time.</w:t>
      </w:r>
    </w:p>
    <w:p w14:paraId="23A482A0" w14:textId="77777777" w:rsidR="002951D5" w:rsidRPr="00BB2286" w:rsidRDefault="00E53D29" w:rsidP="002951D5">
      <w:pPr>
        <w:spacing w:before="0" w:after="320"/>
        <w:ind w:left="720"/>
        <w:rPr>
          <w:lang w:val="en-ZW"/>
        </w:rPr>
      </w:pPr>
      <w:r>
        <w:t>5. No external production integration: The application had no live connection to a mobile-money operator’s transaction feed, so integration findings concerned locally tested interfaces rather than operator infrastructure. Separately, the study excluded external telecommunications, SIM-registration, device-intelligence and geolocation data. Internal investigation and reporting records were not automatically transmitted to a regulator or other external authority. External data access, reporting integration and organisational acceptance therefore remained outside the demonstrated integration evidence.</w:t>
      </w:r>
    </w:p>
    <w:p w14:paraId="7933EBF2" w14:textId="77777777" w:rsidR="00D83F73" w:rsidRDefault="00000000" w:rsidP="003C6C55">
      <w:pPr>
        <w:spacing w:before="0" w:after="320"/>
        <w:ind w:left="720"/>
      </w:pPr>
      <w:r>
        <w:t>6. Notification and timing limits: Device notifications depend on browser permission and operating-system settings, and currently require an authenticated application tab to remain open. Cross-instance delivery and objective execution times require recorded, controlled measurements; functional correctness alone does not establish latency. The demonstration procedure therefore required permission to be granted, the relevant browser session to remain available and separate instances to be identified when cross-instance delivery was assessed. A missing device notification was not treated as proof that the stored message had disappeared; conversation history and delivery receipts were checked independently.</w:t>
      </w:r>
    </w:p>
    <w:p w14:paraId="57EF891D" w14:textId="77777777" w:rsidR="00BB2286" w:rsidRPr="00BB2286" w:rsidRDefault="00BB2286" w:rsidP="00BB2286">
      <w:pPr>
        <w:pStyle w:val="Heading2"/>
        <w:spacing w:before="0" w:after="320"/>
        <w:rPr>
          <w:lang w:val="en-ZW"/>
        </w:rPr>
      </w:pPr>
      <w:r w:rsidRPr="00BB2286">
        <w:rPr>
          <w:lang w:val="en-ZW"/>
        </w:rPr>
        <w:lastRenderedPageBreak/>
        <w:t>1.7 Delimitations</w:t>
      </w:r>
    </w:p>
    <w:p w14:paraId="1B6C1473" w14:textId="77777777" w:rsidR="00BB2286" w:rsidRPr="00BB2286" w:rsidRDefault="00BB2286" w:rsidP="00BB2286">
      <w:pPr>
        <w:spacing w:before="0" w:after="320"/>
        <w:rPr>
          <w:lang w:val="en-ZW"/>
        </w:rPr>
      </w:pPr>
      <w:r w:rsidRPr="00BB2286">
        <w:rPr>
          <w:lang w:val="en-ZW"/>
        </w:rPr>
        <w:t>The study was deliberately restricted by the following boundaries:</w:t>
      </w:r>
    </w:p>
    <w:p w14:paraId="1C593D5F" w14:textId="77777777" w:rsidR="00FE070A" w:rsidRDefault="005A01E1" w:rsidP="005A01E1">
      <w:pPr>
        <w:spacing w:before="0" w:after="320"/>
      </w:pPr>
      <w:r>
        <w:t>1. Geographical scope: The study concerned the Zimbabwean mobile-money environment and did not claim to represent every platform or regulatory jurisdiction.</w:t>
      </w:r>
    </w:p>
    <w:p w14:paraId="269424D4" w14:textId="77777777" w:rsidR="00D83F73" w:rsidRDefault="00000000">
      <w:pPr>
        <w:spacing w:before="0" w:after="320"/>
      </w:pPr>
      <w:r>
        <w:t>2. Behavioural scope: The machine-learning component examined structuring, wallet/transaction-network behaviour and agent behaviour within the frozen V4 feature contract.</w:t>
      </w:r>
    </w:p>
    <w:p w14:paraId="1C559F27" w14:textId="77777777" w:rsidR="00FE070A" w:rsidRDefault="005A01E1" w:rsidP="005A01E1">
      <w:pPr>
        <w:spacing w:before="0" w:after="320"/>
      </w:pPr>
      <w:r>
        <w:t>3. Transaction scope: The application covered Cash-In, Cash-Out, direct wallet-to-wallet transfers and agent-assisted wallet-to-wallet transfers.</w:t>
      </w:r>
    </w:p>
    <w:p w14:paraId="1BC74F3F" w14:textId="77777777" w:rsidR="00FE070A" w:rsidRDefault="00FE070A" w:rsidP="005A01E1">
      <w:pPr>
        <w:spacing w:before="0" w:after="320"/>
      </w:pPr>
      <w:r>
        <w:t>4. Decision scope: The classifier assessed individual transactions as normal or suspicious-pattern transactions using historical behaviour involving wallets, transaction networks and agents. It did not classify a wallet or agent as criminal, determine criminal intent or establish that money laundering had occurred.</w:t>
      </w:r>
    </w:p>
    <w:p w14:paraId="4837E094" w14:textId="77777777" w:rsidR="00FE070A" w:rsidRDefault="005A01E1" w:rsidP="005A01E1">
      <w:pPr>
        <w:spacing w:before="0" w:after="320"/>
      </w:pPr>
      <w:r w:rsidRPr="005A01E1">
        <w:t xml:space="preserve">5. There was no attempt to replace customer identification or KYC procedures, or to have biometric identification, blockchain/cryptocurrency analysis, live telecommunications analysis, SIM-registration analysis, device intelligence or geolocation-based AML detection. </w:t>
      </w:r>
    </w:p>
    <w:p w14:paraId="22AF6C8D" w14:textId="77777777" w:rsidR="002951D5" w:rsidRPr="00BB2286" w:rsidRDefault="005A01E1" w:rsidP="005A01E1">
      <w:pPr>
        <w:spacing w:before="0" w:after="320"/>
        <w:rPr>
          <w:lang w:val="en-ZW"/>
        </w:rPr>
      </w:pPr>
      <w:r>
        <w:t>6. Deployment scope: The study evaluated the implemented application locally. It did not establish readiness for deployment in a mobile-money operator’s production environment.</w:t>
      </w:r>
    </w:p>
    <w:p w14:paraId="3EE42E72" w14:textId="77777777" w:rsidR="00BB2286" w:rsidRPr="00BB2286" w:rsidRDefault="00BB2286" w:rsidP="00BB2286">
      <w:pPr>
        <w:pStyle w:val="Heading2"/>
        <w:spacing w:before="0" w:after="320"/>
        <w:rPr>
          <w:lang w:val="en-ZW"/>
        </w:rPr>
      </w:pPr>
      <w:r w:rsidRPr="00BB2286">
        <w:rPr>
          <w:lang w:val="en-ZW"/>
        </w:rPr>
        <w:t>1.8 Development Instruments</w:t>
      </w:r>
    </w:p>
    <w:p w14:paraId="52D6A15B" w14:textId="77777777" w:rsidR="002951D5" w:rsidRPr="00BB2286" w:rsidRDefault="0078042A" w:rsidP="00BB2286">
      <w:pPr>
        <w:spacing w:before="0" w:after="320"/>
        <w:rPr>
          <w:lang w:val="en-ZW"/>
        </w:rPr>
      </w:pPr>
      <w:r>
        <w:t>The project required hardware and software resources for application development, database management, synthetic-data processing, model development and system verification.</w:t>
      </w:r>
    </w:p>
    <w:p w14:paraId="0EF90703" w14:textId="77777777" w:rsidR="00BB2286" w:rsidRPr="00BB2286" w:rsidRDefault="00BB2286" w:rsidP="00BB2286">
      <w:pPr>
        <w:pStyle w:val="Heading3"/>
        <w:spacing w:before="0" w:after="320"/>
        <w:rPr>
          <w:lang w:val="en-ZW"/>
        </w:rPr>
      </w:pPr>
      <w:r w:rsidRPr="00BB2286">
        <w:rPr>
          <w:lang w:val="en-ZW"/>
        </w:rPr>
        <w:t>1.8.1 Hardware Instruments</w:t>
      </w:r>
    </w:p>
    <w:p w14:paraId="028EC799" w14:textId="77777777" w:rsidR="002951D5" w:rsidRPr="00BB2286" w:rsidRDefault="00F16489" w:rsidP="00BB2286">
      <w:pPr>
        <w:spacing w:before="0" w:after="320"/>
        <w:rPr>
          <w:lang w:val="en-ZW"/>
        </w:rPr>
      </w:pPr>
      <w:r>
        <w:t>The development workstation recorded for the final documentation used an Intel Core i5-9400H processor at 2.50 GHz and 16 GB installed-class memory, with approximately 15.73 GiB of usable physical memory. Its C: volume provided approximately 475.86 GiB of capacity. These specifications described the local host observed on 19 October 2026; they were not a retrospective benchmark of every model-development run. Operating-system inspection on 20 October 2026 identified Windows 11, 64-bit, build 26300. The workstation supported application development, synthetic-data processing, document preparation and local testing. Chapter 3 explains the role and suitability of the hardware in greater detail.</w:t>
      </w:r>
    </w:p>
    <w:p w14:paraId="3A8BF354" w14:textId="77777777" w:rsidR="00BB2286" w:rsidRPr="00BB2286" w:rsidRDefault="00BB2286" w:rsidP="00BB2286">
      <w:pPr>
        <w:pStyle w:val="Heading3"/>
        <w:spacing w:before="0" w:after="320"/>
        <w:rPr>
          <w:lang w:val="en-ZW"/>
        </w:rPr>
      </w:pPr>
      <w:r w:rsidRPr="00BB2286">
        <w:rPr>
          <w:lang w:val="en-ZW"/>
        </w:rPr>
        <w:lastRenderedPageBreak/>
        <w:t>1.8.2 Software Instruments</w:t>
      </w:r>
    </w:p>
    <w:p w14:paraId="2602A095" w14:textId="77777777" w:rsidR="00BB2286" w:rsidRDefault="00BB2286" w:rsidP="00BB2286">
      <w:pPr>
        <w:spacing w:before="0" w:after="320"/>
        <w:rPr>
          <w:lang w:val="en-ZW"/>
        </w:rPr>
      </w:pPr>
      <w:r>
        <w:t>Table 1.1 summarised the principal software instruments used during development.</w:t>
      </w:r>
    </w:p>
    <w:p w14:paraId="4DD72E0C" w14:textId="77777777" w:rsidR="00BB2286" w:rsidRPr="00BB2286" w:rsidRDefault="00BB2286" w:rsidP="00BB2286">
      <w:pPr>
        <w:pStyle w:val="Caption2"/>
        <w:keepNext/>
        <w:spacing w:before="0" w:after="320"/>
        <w:jc w:val="center"/>
        <w:rPr>
          <w:lang w:val="en-ZW"/>
        </w:rPr>
      </w:pPr>
      <w:r w:rsidRPr="00BB2286">
        <w:rPr>
          <w:b/>
          <w:bCs/>
          <w:lang w:val="en-ZW"/>
        </w:rPr>
        <w:t>Table 1.1: Software Development Instruments</w:t>
      </w:r>
    </w:p>
    <w:tbl>
      <w:tblPr>
        <w:tblW w:w="0" w:type="auto"/>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050"/>
        <w:gridCol w:w="6966"/>
      </w:tblGrid>
      <w:tr w:rsidR="00BB2286" w:rsidRPr="00BB2286" w14:paraId="76B60B10" w14:textId="77777777" w:rsidTr="002E65E5">
        <w:trPr>
          <w:cantSplit/>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0E6BDC" w14:textId="77777777" w:rsidR="00BB2286" w:rsidRPr="00BB2286" w:rsidRDefault="00BB2286" w:rsidP="00BB2286">
            <w:pPr>
              <w:spacing w:after="320" w:before="0"/>
              <w:rPr>
                <w:b/>
                <w:bCs/>
                <w:lang w:val="en-ZW"/>
              </w:rPr>
            </w:pPr>
            <w:r w:rsidRPr="00BB2286">
              <w:rPr>
                <w:b/>
                <w:bCs/>
                <w:lang w:val="en-ZW"/>
              </w:rPr>
              <w:t>Instrument</w:t>
            </w:r>
          </w:p>
        </w:tc>
        <w:tc>
          <w:tcPr>
            <w:tcW w:w="0" w:type="auto"/>
            <w:tcBorders>
              <w:top w:val="single" w:sz="4" w:space="0" w:color="000000"/>
              <w:left w:val="nil"/>
              <w:bottom w:val="single" w:sz="4" w:space="0" w:color="000000"/>
              <w:right w:val="single" w:sz="4" w:space="0" w:color="000000"/>
            </w:tcBorders>
            <w:vAlign w:val="center"/>
            <w:hideMark/>
          </w:tcPr>
          <w:p w14:paraId="6B4CA72B" w14:textId="77777777" w:rsidR="00BB2286" w:rsidRPr="00BB2286" w:rsidRDefault="00BB2286" w:rsidP="00BB2286">
            <w:pPr>
              <w:spacing w:after="320" w:before="0"/>
              <w:rPr>
                <w:b/>
                <w:bCs/>
                <w:lang w:val="en-ZW"/>
              </w:rPr>
            </w:pPr>
            <w:r w:rsidRPr="00BB2286">
              <w:rPr>
                <w:b/>
                <w:bCs/>
                <w:lang w:val="en-ZW"/>
              </w:rPr>
              <w:t>Purpose</w:t>
            </w:r>
          </w:p>
        </w:tc>
      </w:tr>
      <w:tr w:rsidR="00BB2286" w:rsidRPr="00BB2286" w14:paraId="63131751"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40D35B20" w14:textId="77777777" w:rsidR="00BB2286" w:rsidRPr="00BB2286" w:rsidRDefault="00BB2286" w:rsidP="00BB2286">
            <w:pPr>
              <w:spacing w:after="320" w:before="0"/>
              <w:rPr>
                <w:lang w:val="en-ZW"/>
              </w:rPr>
            </w:pPr>
            <w:r>
              <w:rPr>
                <w:lang w:val="en-ZW"/>
              </w:rPr>
              <w:t>Python 3.14.3</w:t>
            </w:r>
          </w:p>
        </w:tc>
        <w:tc>
          <w:tcPr>
            <w:tcW w:w="0" w:type="auto"/>
            <w:tcBorders>
              <w:top w:val="nil"/>
              <w:left w:val="nil"/>
              <w:bottom w:val="single" w:sz="4" w:space="0" w:color="000000"/>
              <w:right w:val="single" w:sz="4" w:space="0" w:color="000000"/>
            </w:tcBorders>
            <w:vAlign w:val="center"/>
            <w:hideMark/>
          </w:tcPr>
          <w:p w14:paraId="075BAD46" w14:textId="77777777" w:rsidR="00BB2286" w:rsidRPr="00BB2286" w:rsidRDefault="00BB2286" w:rsidP="00BB2286">
            <w:pPr>
              <w:spacing w:after="320" w:before="0"/>
              <w:rPr>
                <w:lang w:val="en-ZW"/>
              </w:rPr>
            </w:pPr>
            <w:r w:rsidRPr="00BB2286">
              <w:rPr>
                <w:lang w:val="en-ZW"/>
              </w:rPr>
              <w:t>Core application development, data processing, behavioural feature extraction and machine-learning implementation</w:t>
            </w:r>
          </w:p>
        </w:tc>
      </w:tr>
      <w:tr w:rsidR="00BB2286" w:rsidRPr="00BB2286" w14:paraId="7DDDC16C"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6E7263CD" w14:textId="77777777" w:rsidR="00BB2286" w:rsidRPr="00BB2286" w:rsidRDefault="00BB2286" w:rsidP="00BB2286">
            <w:pPr>
              <w:spacing w:after="320" w:before="0"/>
              <w:rPr>
                <w:lang w:val="en-ZW"/>
              </w:rPr>
            </w:pPr>
            <w:r>
              <w:rPr>
                <w:lang w:val="en-ZW"/>
              </w:rPr>
              <w:t>Flask 3.1.3</w:t>
            </w:r>
          </w:p>
        </w:tc>
        <w:tc>
          <w:tcPr>
            <w:tcW w:w="0" w:type="auto"/>
            <w:tcBorders>
              <w:top w:val="nil"/>
              <w:left w:val="nil"/>
              <w:bottom w:val="single" w:sz="4" w:space="0" w:color="000000"/>
              <w:right w:val="single" w:sz="4" w:space="0" w:color="000000"/>
            </w:tcBorders>
            <w:vAlign w:val="center"/>
            <w:hideMark/>
          </w:tcPr>
          <w:p w14:paraId="356BA676" w14:textId="77777777" w:rsidR="00BB2286" w:rsidRPr="00BB2286" w:rsidRDefault="00BB2286" w:rsidP="00BB2286">
            <w:pPr>
              <w:spacing w:after="320" w:before="0"/>
              <w:rPr>
                <w:lang w:val="en-ZW"/>
              </w:rPr>
            </w:pPr>
            <w:r w:rsidRPr="00BB2286">
              <w:rPr>
                <w:lang w:val="en-ZW"/>
              </w:rPr>
              <w:t>Development of the web-based application and server-side processing</w:t>
            </w:r>
          </w:p>
        </w:tc>
      </w:tr>
      <w:tr w:rsidR="00BB2286" w:rsidRPr="00BB2286" w14:paraId="65CB9B4A"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3F525428" w14:textId="77777777" w:rsidR="00BB2286" w:rsidRPr="00BB2286" w:rsidRDefault="00BB2286" w:rsidP="00BB2286">
            <w:pPr>
              <w:spacing w:after="320" w:before="0"/>
              <w:rPr>
                <w:lang w:val="en-ZW"/>
              </w:rPr>
            </w:pPr>
            <w:r>
              <w:rPr>
                <w:lang w:val="en-ZW"/>
              </w:rPr>
              <w:t>Flask-SocketIO 5.6.1 / Socket.IO 4.7.5</w:t>
            </w:r>
          </w:p>
        </w:tc>
        <w:tc>
          <w:tcPr>
            <w:tcW w:w="0" w:type="auto"/>
            <w:tcBorders>
              <w:top w:val="nil"/>
              <w:left w:val="nil"/>
              <w:bottom w:val="single" w:sz="4" w:space="0" w:color="000000"/>
              <w:right w:val="single" w:sz="4" w:space="0" w:color="000000"/>
            </w:tcBorders>
            <w:vAlign w:val="center"/>
            <w:hideMark/>
          </w:tcPr>
          <w:p w14:paraId="54734930" w14:textId="77777777" w:rsidR="00BB2286" w:rsidRPr="00BB2286" w:rsidRDefault="00BB2286" w:rsidP="00BB2286">
            <w:pPr>
              <w:spacing w:after="320" w:before="0"/>
              <w:rPr>
                <w:lang w:val="en-ZW"/>
              </w:rPr>
            </w:pPr>
            <w:r>
              <w:rPr>
                <w:lang w:val="en-ZW"/>
              </w:rPr>
              <w:t>Flask-SocketIO provides the Python server extension; the Socket.IO JavaScript client connects browser interfaces for real-time events</w:t>
            </w:r>
          </w:p>
        </w:tc>
      </w:tr>
      <w:tr w:rsidR="00BB2286" w:rsidRPr="00BB2286" w14:paraId="7F3592CA"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4F115274" w14:textId="77777777" w:rsidR="00BB2286" w:rsidRPr="00BB2286" w:rsidRDefault="00BB2286" w:rsidP="00BB2286">
            <w:pPr>
              <w:spacing w:after="320" w:before="0"/>
              <w:rPr>
                <w:lang w:val="en-ZW"/>
              </w:rPr>
            </w:pPr>
            <w:r>
              <w:rPr>
                <w:lang w:val="en-ZW"/>
              </w:rPr>
              <w:t>MySQL 8.0.46</w:t>
            </w:r>
          </w:p>
        </w:tc>
        <w:tc>
          <w:tcPr>
            <w:tcW w:w="0" w:type="auto"/>
            <w:tcBorders>
              <w:top w:val="nil"/>
              <w:left w:val="nil"/>
              <w:bottom w:val="single" w:sz="4" w:space="0" w:color="000000"/>
              <w:right w:val="single" w:sz="4" w:space="0" w:color="000000"/>
            </w:tcBorders>
            <w:vAlign w:val="center"/>
            <w:hideMark/>
          </w:tcPr>
          <w:p w14:paraId="66950D8C" w14:textId="77777777" w:rsidR="00BB2286" w:rsidRPr="00BB2286" w:rsidRDefault="00BB2286" w:rsidP="00BB2286">
            <w:pPr>
              <w:spacing w:after="320" w:before="0"/>
              <w:rPr>
                <w:lang w:val="en-ZW"/>
              </w:rPr>
            </w:pPr>
            <w:r w:rsidRPr="00BB2286">
              <w:rPr>
                <w:lang w:val="en-ZW"/>
              </w:rPr>
              <w:t>Relational database management for application data</w:t>
            </w:r>
          </w:p>
        </w:tc>
      </w:tr>
      <w:tr w:rsidR="00BB2286" w:rsidRPr="00BB2286" w14:paraId="37C0E5A0"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454D54E8" w14:textId="77777777" w:rsidR="00D83F73" w:rsidRDefault="00000000">
            <w:pPr>
              <w:spacing w:after="320" w:before="0"/>
            </w:pPr>
            <w:r>
              <w:t>scikit-learn 1.9.0 and XGBoost 3.4.1</w:t>
            </w:r>
          </w:p>
        </w:tc>
        <w:tc>
          <w:tcPr>
            <w:tcW w:w="0" w:type="auto"/>
            <w:tcBorders>
              <w:top w:val="nil"/>
              <w:left w:val="nil"/>
              <w:bottom w:val="single" w:sz="4" w:space="0" w:color="000000"/>
              <w:right w:val="single" w:sz="4" w:space="0" w:color="000000"/>
            </w:tcBorders>
            <w:vAlign w:val="center"/>
            <w:hideMark/>
          </w:tcPr>
          <w:p w14:paraId="42BF1622" w14:textId="77777777" w:rsidR="00D83F73" w:rsidRDefault="00000000">
            <w:pPr>
              <w:spacing w:after="320" w:before="0"/>
            </w:pPr>
            <w:r>
              <w:t>Candidate training, comparison and preprocessing; frozen V4 inference runs in the isolated model runtime, which is separate from the Flask virtual environment</w:t>
            </w:r>
          </w:p>
        </w:tc>
      </w:tr>
      <w:tr w:rsidR="00BB2286" w:rsidRPr="00BB2286" w14:paraId="1BF307F8"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7E360BB4" w14:textId="77777777" w:rsidR="00BB2286" w:rsidRPr="00BB2286" w:rsidRDefault="00BB2286" w:rsidP="00BB2286">
            <w:pPr>
              <w:spacing w:after="320" w:before="0"/>
              <w:rPr>
                <w:lang w:val="en-ZW"/>
              </w:rPr>
            </w:pPr>
            <w:r w:rsidRPr="00BB2286">
              <w:rPr>
                <w:lang w:val="en-ZW"/>
              </w:rPr>
              <w:t>HTML</w:t>
            </w:r>
          </w:p>
        </w:tc>
        <w:tc>
          <w:tcPr>
            <w:tcW w:w="0" w:type="auto"/>
            <w:tcBorders>
              <w:top w:val="nil"/>
              <w:left w:val="nil"/>
              <w:bottom w:val="single" w:sz="4" w:space="0" w:color="000000"/>
              <w:right w:val="single" w:sz="4" w:space="0" w:color="000000"/>
            </w:tcBorders>
            <w:vAlign w:val="center"/>
            <w:hideMark/>
          </w:tcPr>
          <w:p w14:paraId="7A6BFDC2" w14:textId="77777777" w:rsidR="00BB2286" w:rsidRPr="00BB2286" w:rsidRDefault="00BB2286" w:rsidP="00BB2286">
            <w:pPr>
              <w:spacing w:after="320" w:before="0"/>
              <w:rPr>
                <w:lang w:val="en-ZW"/>
              </w:rPr>
            </w:pPr>
            <w:r w:rsidRPr="00BB2286">
              <w:rPr>
                <w:lang w:val="en-ZW"/>
              </w:rPr>
              <w:t>Structure of the browser-based application interfaces</w:t>
            </w:r>
          </w:p>
        </w:tc>
      </w:tr>
      <w:tr w:rsidR="00BB2286" w:rsidRPr="00BB2286" w14:paraId="5A1FE124"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55857EBF" w14:textId="77777777" w:rsidR="00BB2286" w:rsidRPr="00BB2286" w:rsidRDefault="00BB2286" w:rsidP="00BB2286">
            <w:pPr>
              <w:spacing w:after="320" w:before="0"/>
              <w:rPr>
                <w:lang w:val="en-ZW"/>
              </w:rPr>
            </w:pPr>
            <w:r w:rsidRPr="00BB2286">
              <w:rPr>
                <w:lang w:val="en-ZW"/>
              </w:rPr>
              <w:t>CSS</w:t>
            </w:r>
          </w:p>
        </w:tc>
        <w:tc>
          <w:tcPr>
            <w:tcW w:w="0" w:type="auto"/>
            <w:tcBorders>
              <w:top w:val="nil"/>
              <w:left w:val="nil"/>
              <w:bottom w:val="single" w:sz="4" w:space="0" w:color="000000"/>
              <w:right w:val="single" w:sz="4" w:space="0" w:color="000000"/>
            </w:tcBorders>
            <w:vAlign w:val="center"/>
            <w:hideMark/>
          </w:tcPr>
          <w:p w14:paraId="7D5C546D" w14:textId="77777777" w:rsidR="00BB2286" w:rsidRPr="00BB2286" w:rsidRDefault="00BB2286" w:rsidP="00BB2286">
            <w:pPr>
              <w:spacing w:after="320" w:before="0"/>
              <w:rPr>
                <w:lang w:val="en-ZW"/>
              </w:rPr>
            </w:pPr>
            <w:r w:rsidRPr="00BB2286">
              <w:rPr>
                <w:lang w:val="en-ZW"/>
              </w:rPr>
              <w:t>Styling and presentation of application interfaces</w:t>
            </w:r>
          </w:p>
        </w:tc>
      </w:tr>
      <w:tr w:rsidR="00BB2286" w:rsidRPr="00BB2286" w14:paraId="4C68C25E"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140D128C" w14:textId="77777777" w:rsidR="00BB2286" w:rsidRPr="00BB2286" w:rsidRDefault="00BB2286" w:rsidP="00BB2286">
            <w:pPr>
              <w:spacing w:after="320" w:before="0"/>
              <w:rPr>
                <w:lang w:val="en-ZW"/>
              </w:rPr>
            </w:pPr>
            <w:r w:rsidRPr="00BB2286">
              <w:rPr>
                <w:lang w:val="en-ZW"/>
              </w:rPr>
              <w:t>JavaScript</w:t>
            </w:r>
          </w:p>
        </w:tc>
        <w:tc>
          <w:tcPr>
            <w:tcW w:w="0" w:type="auto"/>
            <w:tcBorders>
              <w:top w:val="nil"/>
              <w:left w:val="nil"/>
              <w:bottom w:val="single" w:sz="4" w:space="0" w:color="000000"/>
              <w:right w:val="single" w:sz="4" w:space="0" w:color="000000"/>
            </w:tcBorders>
            <w:vAlign w:val="center"/>
            <w:hideMark/>
          </w:tcPr>
          <w:p w14:paraId="548D50FC" w14:textId="77777777" w:rsidR="00BB2286" w:rsidRPr="00BB2286" w:rsidRDefault="00BB2286" w:rsidP="00BB2286">
            <w:pPr>
              <w:spacing w:after="320" w:before="0"/>
              <w:rPr>
                <w:lang w:val="en-ZW"/>
              </w:rPr>
            </w:pPr>
            <w:r w:rsidRPr="00BB2286">
              <w:rPr>
                <w:lang w:val="en-ZW"/>
              </w:rPr>
              <w:t>Client-side interaction and real-time interface behaviour</w:t>
            </w:r>
          </w:p>
        </w:tc>
      </w:tr>
      <w:tr w:rsidR="00BB2286" w:rsidRPr="00BB2286" w14:paraId="43BEAF4F"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69F55C6C" w14:textId="77777777" w:rsidR="00BB2286" w:rsidRPr="00BB2286" w:rsidRDefault="00BB2286" w:rsidP="00BB2286">
            <w:pPr>
              <w:spacing w:after="320" w:before="0"/>
              <w:rPr>
                <w:lang w:val="en-ZW"/>
              </w:rPr>
            </w:pPr>
            <w:r w:rsidRPr="00BB2286">
              <w:rPr>
                <w:lang w:val="en-ZW"/>
              </w:rPr>
              <w:t>Visual Studio Code</w:t>
            </w:r>
          </w:p>
        </w:tc>
        <w:tc>
          <w:tcPr>
            <w:tcW w:w="0" w:type="auto"/>
            <w:tcBorders>
              <w:top w:val="nil"/>
              <w:left w:val="nil"/>
              <w:bottom w:val="single" w:sz="4" w:space="0" w:color="000000"/>
              <w:right w:val="single" w:sz="4" w:space="0" w:color="000000"/>
            </w:tcBorders>
            <w:vAlign w:val="center"/>
            <w:hideMark/>
          </w:tcPr>
          <w:p w14:paraId="04E797FE" w14:textId="77777777" w:rsidR="00BB2286" w:rsidRPr="00BB2286" w:rsidRDefault="00BB2286" w:rsidP="00BB2286">
            <w:pPr>
              <w:spacing w:after="320" w:before="0"/>
              <w:rPr>
                <w:lang w:val="en-ZW"/>
              </w:rPr>
            </w:pPr>
            <w:r w:rsidRPr="00BB2286">
              <w:rPr>
                <w:lang w:val="en-ZW"/>
              </w:rPr>
              <w:t>Software development and source-code editing</w:t>
            </w:r>
          </w:p>
        </w:tc>
      </w:tr>
      <w:tr w:rsidR="00BB2286" w:rsidRPr="00BB2286" w14:paraId="460D9229"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055840D8" w14:textId="77777777" w:rsidR="00BB2286" w:rsidRPr="00BB2286" w:rsidRDefault="00BB2286" w:rsidP="00BB2286">
            <w:pPr>
              <w:spacing w:after="320" w:before="0"/>
              <w:rPr>
                <w:lang w:val="en-ZW"/>
              </w:rPr>
            </w:pPr>
            <w:r w:rsidRPr="00BB2286">
              <w:rPr>
                <w:lang w:val="en-ZW"/>
              </w:rPr>
              <w:t>Git</w:t>
            </w:r>
          </w:p>
        </w:tc>
        <w:tc>
          <w:tcPr>
            <w:tcW w:w="0" w:type="auto"/>
            <w:tcBorders>
              <w:top w:val="nil"/>
              <w:left w:val="nil"/>
              <w:bottom w:val="single" w:sz="4" w:space="0" w:color="000000"/>
              <w:right w:val="single" w:sz="4" w:space="0" w:color="000000"/>
            </w:tcBorders>
            <w:vAlign w:val="center"/>
            <w:hideMark/>
          </w:tcPr>
          <w:p w14:paraId="25BC5B76" w14:textId="77777777" w:rsidR="00BB2286" w:rsidRPr="00BB2286" w:rsidRDefault="00BB2286" w:rsidP="00BB2286">
            <w:pPr>
              <w:spacing w:after="320" w:before="0"/>
              <w:rPr>
                <w:lang w:val="en-ZW"/>
              </w:rPr>
            </w:pPr>
            <w:r w:rsidRPr="00BB2286">
              <w:rPr>
                <w:lang w:val="en-ZW"/>
              </w:rPr>
              <w:t>Source-code version control</w:t>
            </w:r>
          </w:p>
        </w:tc>
      </w:tr>
      <w:tr w:rsidR="00BB2286" w:rsidRPr="00BB2286" w14:paraId="65166B21" w14:textId="77777777" w:rsidTr="002E65E5">
        <w:trPr>
          <w:cantSplit/>
        </w:trPr>
        <w:tc>
          <w:tcPr>
            <w:tcW w:w="0" w:type="auto"/>
            <w:tcBorders>
              <w:top w:val="nil"/>
              <w:left w:val="single" w:sz="4" w:space="0" w:color="000000"/>
              <w:bottom w:val="single" w:sz="4" w:space="0" w:color="000000"/>
              <w:right w:val="single" w:sz="4" w:space="0" w:color="000000"/>
            </w:tcBorders>
            <w:vAlign w:val="center"/>
            <w:hideMark/>
          </w:tcPr>
          <w:p w14:paraId="11AD1600" w14:textId="77777777" w:rsidR="00BB2286" w:rsidRPr="00BB2286" w:rsidRDefault="00BB2286" w:rsidP="00BB2286">
            <w:pPr>
              <w:spacing w:after="320" w:before="0"/>
              <w:rPr>
                <w:lang w:val="en-ZW"/>
              </w:rPr>
            </w:pPr>
            <w:r w:rsidRPr="00BB2286">
              <w:rPr>
                <w:lang w:val="en-ZW"/>
              </w:rPr>
              <w:t>Web Browser</w:t>
            </w:r>
          </w:p>
        </w:tc>
        <w:tc>
          <w:tcPr>
            <w:tcW w:w="0" w:type="auto"/>
            <w:tcBorders>
              <w:top w:val="nil"/>
              <w:left w:val="nil"/>
              <w:bottom w:val="single" w:sz="4" w:space="0" w:color="000000"/>
              <w:right w:val="single" w:sz="4" w:space="0" w:color="000000"/>
            </w:tcBorders>
            <w:vAlign w:val="center"/>
            <w:hideMark/>
          </w:tcPr>
          <w:p w14:paraId="3831AF14" w14:textId="77777777" w:rsidR="00BB2286" w:rsidRPr="00BB2286" w:rsidRDefault="00BB2286" w:rsidP="00BB2286">
            <w:pPr>
              <w:spacing w:after="320" w:before="0"/>
              <w:rPr>
                <w:lang w:val="en-ZW"/>
              </w:rPr>
            </w:pPr>
            <w:r w:rsidRPr="00BB2286">
              <w:rPr>
                <w:lang w:val="en-ZW"/>
              </w:rPr>
              <w:t>Testing and interaction with the developed application</w:t>
            </w:r>
          </w:p>
        </w:tc>
      </w:tr>
      <w:tr w:rsidR="00D83F73" w14:paraId="07735D7F" w14:textId="77777777">
        <w:trPr>
          <w:cantSplit/>
        </w:trPr>
        <w:tc>
          <w:tcPr>
            <w:tcW w:w="2051" w:type="dxa"/>
            <w:tcBorders>
              <w:top w:val="nil"/>
              <w:left w:val="single" w:sz="4" w:space="0" w:color="000000"/>
              <w:bottom w:val="single" w:sz="4" w:space="0" w:color="000000"/>
              <w:right w:val="single" w:sz="4" w:space="0" w:color="000000"/>
            </w:tcBorders>
          </w:tcPr>
          <w:p w14:paraId="2818BB2A" w14:textId="77777777" w:rsidR="00D83F73" w:rsidRDefault="00000000">
            <w:pPr>
              <w:spacing w:after="320" w:before="0"/>
            </w:pPr>
            <w:r>
              <w:t>Redis client: redis-py 8.0.0</w:t>
            </w:r>
          </w:p>
        </w:tc>
        <w:tc>
          <w:tcPr>
            <w:tcW w:w="6975" w:type="dxa"/>
            <w:tcBorders>
              <w:top w:val="nil"/>
              <w:left w:val="nil"/>
              <w:bottom w:val="single" w:sz="4" w:space="0" w:color="000000"/>
              <w:right w:val="single" w:sz="4" w:space="0" w:color="000000"/>
            </w:tcBorders>
          </w:tcPr>
          <w:p w14:paraId="57D0FC7E" w14:textId="77777777" w:rsidR="00D83F73" w:rsidRDefault="00000000">
            <w:pPr>
              <w:spacing w:after="320" w:before="0"/>
            </w:pPr>
            <w:r>
              <w:t>Python client for cross-instance publication through the Redis service; the client package is distinct from the Redis server</w:t>
            </w:r>
          </w:p>
        </w:tc>
      </w:tr>
      <w:tr w:rsidR="00D83F73" w14:paraId="30D2C4F3" w14:textId="77777777">
        <w:trPr>
          <w:cantSplit/>
        </w:trPr>
        <w:tc>
          <w:tcPr>
            <w:tcW w:w="2051" w:type="dxa"/>
            <w:tcBorders>
              <w:top w:val="nil"/>
              <w:left w:val="single" w:sz="4" w:space="0" w:color="000000"/>
              <w:bottom w:val="single" w:sz="4" w:space="0" w:color="000000"/>
              <w:right w:val="single" w:sz="4" w:space="0" w:color="000000"/>
            </w:tcBorders>
          </w:tcPr>
          <w:p w14:paraId="6FD67DF1" w14:textId="77777777" w:rsidR="00D83F73" w:rsidRDefault="00000000">
            <w:pPr>
              <w:spacing w:after="320" w:before="0"/>
            </w:pPr>
            <w:r>
              <w:t>React</w:t>
            </w:r>
          </w:p>
        </w:tc>
        <w:tc>
          <w:tcPr>
            <w:tcW w:w="6975" w:type="dxa"/>
            <w:tcBorders>
              <w:top w:val="nil"/>
              <w:left w:val="nil"/>
              <w:bottom w:val="single" w:sz="4" w:space="0" w:color="000000"/>
              <w:right w:val="single" w:sz="4" w:space="0" w:color="000000"/>
            </w:tcBorders>
          </w:tcPr>
          <w:p w14:paraId="12AA7838" w14:textId="77777777" w:rsidR="00D83F73" w:rsidRDefault="00000000">
            <w:pPr>
              <w:spacing w:after="320" w:before="0"/>
            </w:pPr>
            <w:r>
              <w:t>Interactive dashboard rendering within the browser interface</w:t>
            </w:r>
          </w:p>
        </w:tc>
      </w:tr>
      <w:tr w:rsidR="00D83F73" w14:paraId="47CD13E2" w14:textId="77777777">
        <w:trPr>
          <w:cantSplit/>
        </w:trPr>
        <w:tc>
          <w:tcPr>
            <w:tcW w:w="2051" w:type="dxa"/>
            <w:tcBorders>
              <w:top w:val="nil"/>
              <w:left w:val="single" w:sz="4" w:space="0" w:color="000000"/>
              <w:bottom w:val="single" w:sz="4" w:space="0" w:color="000000"/>
              <w:right w:val="single" w:sz="4" w:space="0" w:color="000000"/>
            </w:tcBorders>
          </w:tcPr>
          <w:p w14:paraId="20DA787E" w14:textId="77777777" w:rsidR="00D83F73" w:rsidRDefault="00000000">
            <w:pPr>
              <w:spacing w:after="320" w:before="0"/>
            </w:pPr>
            <w:r>
              <w:t>NumPy 2.4.3 (model runtime); 2.5.0 (application)</w:t>
            </w:r>
          </w:p>
        </w:tc>
        <w:tc>
          <w:tcPr>
            <w:tcW w:w="6975" w:type="dxa"/>
            <w:tcBorders>
              <w:top w:val="nil"/>
              <w:left w:val="nil"/>
              <w:bottom w:val="single" w:sz="4" w:space="0" w:color="000000"/>
              <w:right w:val="single" w:sz="4" w:space="0" w:color="000000"/>
            </w:tcBorders>
          </w:tcPr>
          <w:p w14:paraId="784D47EC" w14:textId="77777777" w:rsidR="00D83F73" w:rsidRDefault="00000000">
            <w:pPr>
              <w:spacing w:after="320" w:before="0"/>
            </w:pPr>
            <w:r>
              <w:t>Numerical arrays and frozen preprocessing in the isolated model runtime, with a separate application-environment installation</w:t>
            </w:r>
          </w:p>
        </w:tc>
      </w:tr>
      <w:tr w:rsidR="00D83F73" w14:paraId="40C35318" w14:textId="77777777">
        <w:trPr>
          <w:cantSplit/>
        </w:trPr>
        <w:tc>
          <w:tcPr>
            <w:tcW w:w="2051" w:type="dxa"/>
            <w:tcBorders>
              <w:top w:val="nil"/>
              <w:left w:val="single" w:sz="4" w:space="0" w:color="000000"/>
              <w:bottom w:val="single" w:sz="4" w:space="0" w:color="000000"/>
              <w:right w:val="single" w:sz="4" w:space="0" w:color="000000"/>
            </w:tcBorders>
          </w:tcPr>
          <w:p w14:paraId="2180955A" w14:textId="77777777" w:rsidR="00D83F73" w:rsidRDefault="00000000">
            <w:pPr>
              <w:spacing w:after="320" w:before="0"/>
            </w:pPr>
            <w:r>
              <w:t>pandas 3.0.3</w:t>
            </w:r>
          </w:p>
        </w:tc>
        <w:tc>
          <w:tcPr>
            <w:tcW w:w="6975" w:type="dxa"/>
            <w:tcBorders>
              <w:top w:val="nil"/>
              <w:left w:val="nil"/>
              <w:bottom w:val="single" w:sz="4" w:space="0" w:color="000000"/>
              <w:right w:val="single" w:sz="4" w:space="0" w:color="000000"/>
            </w:tcBorders>
          </w:tcPr>
          <w:p w14:paraId="5CEE65C6" w14:textId="77777777" w:rsidR="00D83F73" w:rsidRDefault="00000000">
            <w:pPr>
              <w:spacing w:after="320" w:before="0"/>
            </w:pPr>
            <w:r>
              <w:t>Transaction-record processing and preparation of tabular development and analysis data</w:t>
            </w:r>
          </w:p>
        </w:tc>
      </w:tr>
      <w:tr w:rsidR="00D83F73" w14:paraId="5BD4A218" w14:textId="77777777">
        <w:trPr>
          <w:cantSplit/>
        </w:trPr>
        <w:tc>
          <w:tcPr>
            <w:tcW w:w="2051" w:type="dxa"/>
            <w:tcBorders>
              <w:top w:val="nil"/>
              <w:left w:val="single" w:sz="4" w:space="0" w:color="000000"/>
              <w:bottom w:val="single" w:sz="4" w:space="0" w:color="000000"/>
              <w:right w:val="single" w:sz="4" w:space="0" w:color="000000"/>
            </w:tcBorders>
          </w:tcPr>
          <w:p w14:paraId="2057845B" w14:textId="77777777" w:rsidR="00D83F73" w:rsidRDefault="00000000">
            <w:pPr>
              <w:spacing w:after="320" w:before="0"/>
            </w:pPr>
            <w:r>
              <w:lastRenderedPageBreak/>
              <w:t>joblib 1.5.3</w:t>
            </w:r>
          </w:p>
        </w:tc>
        <w:tc>
          <w:tcPr>
            <w:tcW w:w="6975" w:type="dxa"/>
            <w:tcBorders>
              <w:top w:val="nil"/>
              <w:left w:val="nil"/>
              <w:bottom w:val="single" w:sz="4" w:space="0" w:color="000000"/>
              <w:right w:val="single" w:sz="4" w:space="0" w:color="000000"/>
            </w:tcBorders>
          </w:tcPr>
          <w:p w14:paraId="587D5938" w14:textId="77777777" w:rsidR="00D83F73" w:rsidRDefault="00000000">
            <w:pPr>
              <w:spacing w:after="320" w:before="0"/>
            </w:pPr>
            <w:r>
              <w:t>Persistence and loading of the frozen preprocessing and classifier artifact</w:t>
            </w:r>
          </w:p>
        </w:tc>
      </w:tr>
    </w:tbl>
    <w:p w14:paraId="075B4A04" w14:textId="77777777" w:rsidR="002951D5" w:rsidRPr="00BB2286" w:rsidRDefault="00DB69B7" w:rsidP="00BB2286">
      <w:pPr>
        <w:spacing w:before="0" w:after="320"/>
        <w:rPr>
          <w:lang w:val="en-ZW"/>
        </w:rPr>
      </w:pPr>
      <w:r>
        <w:t>The integrated application used MySQL to retain users, wallets, transactions, agents, canonical capture records, model results, independent rule findings, alerts, investigations and messages.</w:t>
      </w:r>
    </w:p>
    <w:p w14:paraId="54332004" w14:textId="77777777" w:rsidR="00D83F73" w:rsidRDefault="00000000">
      <w:pPr>
        <w:spacing w:before="0" w:after="320"/>
      </w:pPr>
      <w:r>
        <w:t>The instruments served different responsibilities within the implementation. MySQL preserved committed financial and communication records; Python and Flask coordinated authenticated processing; the frozen XGBoost pipeline produced the model result; and independent rules supplied separately identifiable indicators. Flask-SocketIO delivered browser events, with Redis supporting publication between application instances. Client-side HTML, CSS, JavaScript and React presented the authorised state. Persistent database records remained available when a transient event was missed, so rapid notification was not confused with permanent storage.</w:t>
      </w:r>
    </w:p>
    <w:p w14:paraId="48602BDE" w14:textId="77777777" w:rsidR="00D83F73" w:rsidRDefault="00000000">
      <w:pPr>
        <w:spacing w:before="0" w:after="320"/>
      </w:pPr>
      <w:r>
        <w:t>Software versions were inspected on 20 October 2026 and describe the documented application and isolated inference environments. The frozen training dependency pins remain a separate historical record; current installed versions are not presented as a reconstruction of every training run. In particular, the Flask application delegates frozen-model inference to its isolated runtime, so their package versions must not be conflated.</w:t>
      </w:r>
    </w:p>
    <w:p w14:paraId="2C7FCB80" w14:textId="77777777" w:rsidR="00BB2286" w:rsidRPr="00BB2286" w:rsidRDefault="00BB2286" w:rsidP="00BB2286">
      <w:pPr>
        <w:pStyle w:val="Heading2"/>
        <w:spacing w:before="0" w:after="320"/>
        <w:rPr>
          <w:lang w:val="en-ZW"/>
        </w:rPr>
      </w:pPr>
      <w:r w:rsidRPr="00BB2286">
        <w:rPr>
          <w:lang w:val="en-ZW"/>
        </w:rPr>
        <w:t>1.9 Work Plan</w:t>
      </w:r>
    </w:p>
    <w:p w14:paraId="3DAEBDE6" w14:textId="77777777" w:rsidR="002951D5" w:rsidRPr="00BB2286" w:rsidRDefault="0049622B" w:rsidP="00BB2286">
      <w:pPr>
        <w:spacing w:before="0" w:after="320"/>
        <w:rPr>
          <w:lang w:val="en-ZW"/>
        </w:rPr>
      </w:pPr>
      <w:r>
        <w:t>The approved work plan spans twelve weeks. Requirements and design inform controlled synthetic-data generation and history capture; causal feature engineering then supports model development and validation before frozen-model application integration. Real-time, compliance and messaging work overlaps where those dependencies permit. Table 1.2 states the planned development periods and demonstrable outputs; Figure 1.1 presents the same schedule. These periods are distinct from the execution times in the SMART objectives.</w:t>
      </w:r>
    </w:p>
    <w:p w14:paraId="73B7F692" w14:textId="77777777" w:rsidR="00BB2286" w:rsidRPr="00BB2286" w:rsidRDefault="00BB2286" w:rsidP="00BB2286">
      <w:pPr>
        <w:pStyle w:val="Caption2"/>
        <w:keepNext/>
        <w:spacing w:before="0" w:after="320"/>
        <w:jc w:val="center"/>
        <w:rPr>
          <w:lang w:val="en-ZW"/>
        </w:rPr>
      </w:pPr>
      <w:r w:rsidRPr="00BB2286">
        <w:rPr>
          <w:b/>
          <w:bCs/>
          <w:lang w:val="en-ZW"/>
        </w:rPr>
        <w:t>Table 1.2: Project Work Plan</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3004"/>
        <w:gridCol w:w="3005"/>
        <w:gridCol w:w="3007"/>
      </w:tblGrid>
      <w:tr w:rsidR="00D83F73" w14:paraId="32A4C019" w14:textId="77777777">
        <w:trPr>
          <w:cantSplit/>
          <w:jc w:val="center"/>
        </w:trPr>
        <w:tc>
          <w:tcPr>
            <w:tcW w:w="3009" w:type="dxa"/>
            <w:tcBorders>
              <w:top w:val="single" w:sz="4" w:space="0" w:color="000000"/>
              <w:left w:val="single" w:sz="4" w:space="0" w:color="000000"/>
              <w:bottom w:val="single" w:sz="4" w:space="0" w:color="000000"/>
              <w:right w:val="single" w:sz="4" w:space="0" w:color="000000"/>
            </w:tcBorders>
          </w:tcPr>
          <w:p w14:paraId="737B2CF5" w14:textId="77777777" w:rsidR="00D83F73" w:rsidRDefault="00000000">
            <w:pPr>
              <w:spacing w:after="320" w:before="0"/>
            </w:pPr>
            <w:r>
              <w:t>Weeks</w:t>
            </w:r>
          </w:p>
        </w:tc>
        <w:tc>
          <w:tcPr>
            <w:tcW w:w="3009" w:type="dxa"/>
            <w:tcBorders>
              <w:top w:val="single" w:sz="4" w:space="0" w:color="000000"/>
              <w:left w:val="nil"/>
              <w:bottom w:val="single" w:sz="4" w:space="0" w:color="000000"/>
              <w:right w:val="single" w:sz="4" w:space="0" w:color="000000"/>
            </w:tcBorders>
          </w:tcPr>
          <w:p w14:paraId="57789ED3" w14:textId="77777777" w:rsidR="00D83F73" w:rsidRDefault="00000000">
            <w:pPr>
              <w:spacing w:after="320" w:before="0"/>
            </w:pPr>
            <w:r>
              <w:t>Process</w:t>
            </w:r>
          </w:p>
        </w:tc>
        <w:tc>
          <w:tcPr>
            <w:tcW w:w="3009" w:type="dxa"/>
            <w:tcBorders>
              <w:top w:val="single" w:sz="4" w:space="0" w:color="000000"/>
              <w:left w:val="nil"/>
              <w:bottom w:val="single" w:sz="4" w:space="0" w:color="000000"/>
              <w:right w:val="single" w:sz="4" w:space="0" w:color="000000"/>
            </w:tcBorders>
          </w:tcPr>
          <w:p w14:paraId="4971ED2D" w14:textId="77777777" w:rsidR="00D83F73" w:rsidRDefault="00000000">
            <w:pPr>
              <w:spacing w:after="320" w:before="0"/>
            </w:pPr>
            <w:r>
              <w:t>Demonstrable output</w:t>
            </w:r>
          </w:p>
        </w:tc>
      </w:tr>
      <w:tr w:rsidR="00D83F73" w14:paraId="211AB151" w14:textId="77777777">
        <w:trPr>
          <w:cantSplit/>
          <w:jc w:val="center"/>
        </w:trPr>
        <w:tc>
          <w:tcPr>
            <w:tcW w:w="3009" w:type="dxa"/>
            <w:tcBorders>
              <w:top w:val="nil"/>
              <w:left w:val="single" w:sz="4" w:space="0" w:color="000000"/>
              <w:bottom w:val="single" w:sz="4" w:space="0" w:color="000000"/>
              <w:right w:val="single" w:sz="4" w:space="0" w:color="000000"/>
            </w:tcBorders>
          </w:tcPr>
          <w:p w14:paraId="756A565F" w14:textId="77777777" w:rsidR="00D83F73" w:rsidRDefault="00000000">
            <w:pPr>
              <w:spacing w:after="320" w:before="0"/>
            </w:pPr>
            <w:r>
              <w:t>1–2</w:t>
            </w:r>
          </w:p>
        </w:tc>
        <w:tc>
          <w:tcPr>
            <w:tcW w:w="3009" w:type="dxa"/>
            <w:tcBorders>
              <w:top w:val="nil"/>
              <w:left w:val="nil"/>
              <w:bottom w:val="single" w:sz="4" w:space="0" w:color="000000"/>
              <w:right w:val="single" w:sz="4" w:space="0" w:color="000000"/>
            </w:tcBorders>
          </w:tcPr>
          <w:p w14:paraId="0B806BCF" w14:textId="77777777" w:rsidR="00D83F73" w:rsidRDefault="00000000">
            <w:pPr>
              <w:spacing w:after="320" w:before="0"/>
            </w:pPr>
            <w:r>
              <w:t>Requirements and design</w:t>
            </w:r>
          </w:p>
        </w:tc>
        <w:tc>
          <w:tcPr>
            <w:tcW w:w="3009" w:type="dxa"/>
            <w:tcBorders>
              <w:top w:val="nil"/>
              <w:left w:val="nil"/>
              <w:bottom w:val="single" w:sz="4" w:space="0" w:color="000000"/>
              <w:right w:val="single" w:sz="4" w:space="0" w:color="000000"/>
            </w:tcBorders>
          </w:tcPr>
          <w:p w14:paraId="58B489E3" w14:textId="77777777" w:rsidR="00D83F73" w:rsidRDefault="00000000">
            <w:pPr>
              <w:spacing w:after="320" w:before="0"/>
            </w:pPr>
            <w:r>
              <w:t>Reviewed requirements and application architecture</w:t>
            </w:r>
          </w:p>
        </w:tc>
      </w:tr>
      <w:tr w:rsidR="00D83F73" w14:paraId="17055562" w14:textId="77777777">
        <w:trPr>
          <w:cantSplit/>
          <w:jc w:val="center"/>
        </w:trPr>
        <w:tc>
          <w:tcPr>
            <w:tcW w:w="3009" w:type="dxa"/>
            <w:tcBorders>
              <w:top w:val="nil"/>
              <w:left w:val="single" w:sz="4" w:space="0" w:color="000000"/>
              <w:bottom w:val="single" w:sz="4" w:space="0" w:color="000000"/>
              <w:right w:val="single" w:sz="4" w:space="0" w:color="000000"/>
            </w:tcBorders>
          </w:tcPr>
          <w:p w14:paraId="181140D4" w14:textId="77777777" w:rsidR="00D83F73" w:rsidRDefault="00000000">
            <w:pPr>
              <w:spacing w:after="320" w:before="0"/>
            </w:pPr>
            <w:r>
              <w:lastRenderedPageBreak/>
              <w:t>2–4</w:t>
            </w:r>
          </w:p>
        </w:tc>
        <w:tc>
          <w:tcPr>
            <w:tcW w:w="3009" w:type="dxa"/>
            <w:tcBorders>
              <w:top w:val="nil"/>
              <w:left w:val="nil"/>
              <w:bottom w:val="single" w:sz="4" w:space="0" w:color="000000"/>
              <w:right w:val="single" w:sz="4" w:space="0" w:color="000000"/>
            </w:tcBorders>
          </w:tcPr>
          <w:p w14:paraId="68F0B4AB" w14:textId="77777777" w:rsidR="00D83F73" w:rsidRDefault="00000000">
            <w:pPr>
              <w:spacing w:after="320" w:before="0"/>
            </w:pPr>
            <w:r>
              <w:t>Simulation and history</w:t>
            </w:r>
          </w:p>
        </w:tc>
        <w:tc>
          <w:tcPr>
            <w:tcW w:w="3009" w:type="dxa"/>
            <w:tcBorders>
              <w:top w:val="nil"/>
              <w:left w:val="nil"/>
              <w:bottom w:val="single" w:sz="4" w:space="0" w:color="000000"/>
              <w:right w:val="single" w:sz="4" w:space="0" w:color="000000"/>
            </w:tcBorders>
          </w:tcPr>
          <w:p w14:paraId="754FF20A" w14:textId="77777777" w:rsidR="00D83F73" w:rsidRDefault="00000000">
            <w:pPr>
              <w:spacing w:after="320" w:before="0"/>
            </w:pPr>
            <w:r>
              <w:t>Controlled synthetic-data generation, history-aware transaction simulation and canonical records</w:t>
            </w:r>
          </w:p>
        </w:tc>
      </w:tr>
      <w:tr w:rsidR="00D83F73" w14:paraId="4427C527" w14:textId="77777777">
        <w:trPr>
          <w:cantSplit/>
          <w:jc w:val="center"/>
        </w:trPr>
        <w:tc>
          <w:tcPr>
            <w:tcW w:w="3009" w:type="dxa"/>
            <w:tcBorders>
              <w:top w:val="nil"/>
              <w:left w:val="single" w:sz="4" w:space="0" w:color="000000"/>
              <w:bottom w:val="single" w:sz="4" w:space="0" w:color="000000"/>
              <w:right w:val="single" w:sz="4" w:space="0" w:color="000000"/>
            </w:tcBorders>
          </w:tcPr>
          <w:p w14:paraId="42A94BDF" w14:textId="77777777" w:rsidR="00D83F73" w:rsidRDefault="00000000">
            <w:pPr>
              <w:spacing w:after="320" w:before="0"/>
            </w:pPr>
            <w:r>
              <w:t>4–7</w:t>
            </w:r>
          </w:p>
        </w:tc>
        <w:tc>
          <w:tcPr>
            <w:tcW w:w="3009" w:type="dxa"/>
            <w:tcBorders>
              <w:top w:val="nil"/>
              <w:left w:val="nil"/>
              <w:bottom w:val="single" w:sz="4" w:space="0" w:color="000000"/>
              <w:right w:val="single" w:sz="4" w:space="0" w:color="000000"/>
            </w:tcBorders>
          </w:tcPr>
          <w:p w14:paraId="73D0777C" w14:textId="77777777" w:rsidR="00D83F73" w:rsidRDefault="00000000">
            <w:pPr>
              <w:spacing w:after="320" w:before="0"/>
            </w:pPr>
            <w:r>
              <w:t>V4 model integration</w:t>
            </w:r>
          </w:p>
        </w:tc>
        <w:tc>
          <w:tcPr>
            <w:tcW w:w="3009" w:type="dxa"/>
            <w:tcBorders>
              <w:top w:val="nil"/>
              <w:left w:val="nil"/>
              <w:bottom w:val="single" w:sz="4" w:space="0" w:color="000000"/>
              <w:right w:val="single" w:sz="4" w:space="0" w:color="000000"/>
            </w:tcBorders>
          </w:tcPr>
          <w:p w14:paraId="1F84C935" w14:textId="77777777" w:rsidR="00D83F73" w:rsidRDefault="00000000">
            <w:pPr>
              <w:spacing w:after="320" w:before="0"/>
            </w:pPr>
            <w:r>
              <w:t>Causal feature engineering (40 semantic fields; 42 estimator columns), candidate model development and validation, and frozen XGBoost application integration</w:t>
            </w:r>
          </w:p>
        </w:tc>
      </w:tr>
      <w:tr w:rsidR="00D83F73" w14:paraId="50D4066B" w14:textId="77777777">
        <w:trPr>
          <w:cantSplit/>
          <w:jc w:val="center"/>
        </w:trPr>
        <w:tc>
          <w:tcPr>
            <w:tcW w:w="3009" w:type="dxa"/>
            <w:tcBorders>
              <w:top w:val="nil"/>
              <w:left w:val="single" w:sz="4" w:space="0" w:color="000000"/>
              <w:bottom w:val="single" w:sz="4" w:space="0" w:color="000000"/>
              <w:right w:val="single" w:sz="4" w:space="0" w:color="000000"/>
            </w:tcBorders>
          </w:tcPr>
          <w:p w14:paraId="44C34D46" w14:textId="77777777" w:rsidR="00D83F73" w:rsidRDefault="00000000">
            <w:pPr>
              <w:spacing w:after="320" w:before="0"/>
            </w:pPr>
            <w:r>
              <w:t>6–8</w:t>
            </w:r>
          </w:p>
        </w:tc>
        <w:tc>
          <w:tcPr>
            <w:tcW w:w="3009" w:type="dxa"/>
            <w:tcBorders>
              <w:top w:val="nil"/>
              <w:left w:val="nil"/>
              <w:bottom w:val="single" w:sz="4" w:space="0" w:color="000000"/>
              <w:right w:val="single" w:sz="4" w:space="0" w:color="000000"/>
            </w:tcBorders>
          </w:tcPr>
          <w:p w14:paraId="137843AF" w14:textId="77777777" w:rsidR="00D83F73" w:rsidRDefault="00000000">
            <w:pPr>
              <w:spacing w:after="320" w:before="0"/>
            </w:pPr>
            <w:r>
              <w:t>Redis and WebSockets</w:t>
            </w:r>
          </w:p>
        </w:tc>
        <w:tc>
          <w:tcPr>
            <w:tcW w:w="3009" w:type="dxa"/>
            <w:tcBorders>
              <w:top w:val="nil"/>
              <w:left w:val="nil"/>
              <w:bottom w:val="single" w:sz="4" w:space="0" w:color="000000"/>
              <w:right w:val="single" w:sz="4" w:space="0" w:color="000000"/>
            </w:tcBorders>
          </w:tcPr>
          <w:p w14:paraId="07C94E78" w14:textId="77777777" w:rsidR="00D83F73" w:rsidRDefault="00000000">
            <w:pPr>
              <w:spacing w:after="320" w:before="0"/>
            </w:pPr>
            <w:r>
              <w:t>Authorised browser events with Redis relay support</w:t>
            </w:r>
          </w:p>
        </w:tc>
      </w:tr>
      <w:tr w:rsidR="00D83F73" w14:paraId="3E08B4E8" w14:textId="77777777">
        <w:trPr>
          <w:cantSplit/>
          <w:jc w:val="center"/>
        </w:trPr>
        <w:tc>
          <w:tcPr>
            <w:tcW w:w="3009" w:type="dxa"/>
            <w:tcBorders>
              <w:top w:val="nil"/>
              <w:left w:val="single" w:sz="4" w:space="0" w:color="000000"/>
              <w:bottom w:val="single" w:sz="4" w:space="0" w:color="000000"/>
              <w:right w:val="single" w:sz="4" w:space="0" w:color="000000"/>
            </w:tcBorders>
          </w:tcPr>
          <w:p w14:paraId="710712E1" w14:textId="77777777" w:rsidR="00D83F73" w:rsidRDefault="00000000">
            <w:pPr>
              <w:spacing w:after="320" w:before="0"/>
            </w:pPr>
            <w:r>
              <w:t>8–10</w:t>
            </w:r>
          </w:p>
        </w:tc>
        <w:tc>
          <w:tcPr>
            <w:tcW w:w="3009" w:type="dxa"/>
            <w:tcBorders>
              <w:top w:val="nil"/>
              <w:left w:val="nil"/>
              <w:bottom w:val="single" w:sz="4" w:space="0" w:color="000000"/>
              <w:right w:val="single" w:sz="4" w:space="0" w:color="000000"/>
            </w:tcBorders>
          </w:tcPr>
          <w:p w14:paraId="376C440A" w14:textId="77777777" w:rsidR="00D83F73" w:rsidRDefault="00000000">
            <w:pPr>
              <w:spacing w:after="320" w:before="0"/>
            </w:pPr>
            <w:r>
              <w:t>Risk and compliance workflow</w:t>
            </w:r>
          </w:p>
        </w:tc>
        <w:tc>
          <w:tcPr>
            <w:tcW w:w="3009" w:type="dxa"/>
            <w:tcBorders>
              <w:top w:val="nil"/>
              <w:left w:val="nil"/>
              <w:bottom w:val="single" w:sz="4" w:space="0" w:color="000000"/>
              <w:right w:val="single" w:sz="4" w:space="0" w:color="000000"/>
            </w:tcBorders>
          </w:tcPr>
          <w:p w14:paraId="4F7B08AD" w14:textId="77777777" w:rsidR="00D83F73" w:rsidRDefault="00000000">
            <w:pPr>
              <w:spacing w:after="320" w:before="0"/>
            </w:pPr>
            <w:r>
              <w:t>Separate AI/rule findings and compliance investigation</w:t>
            </w:r>
          </w:p>
        </w:tc>
      </w:tr>
      <w:tr w:rsidR="00D83F73" w14:paraId="17D99017" w14:textId="77777777">
        <w:trPr>
          <w:cantSplit/>
          <w:jc w:val="center"/>
        </w:trPr>
        <w:tc>
          <w:tcPr>
            <w:tcW w:w="3009" w:type="dxa"/>
            <w:tcBorders>
              <w:top w:val="nil"/>
              <w:left w:val="single" w:sz="4" w:space="0" w:color="000000"/>
              <w:bottom w:val="single" w:sz="4" w:space="0" w:color="000000"/>
              <w:right w:val="single" w:sz="4" w:space="0" w:color="000000"/>
            </w:tcBorders>
          </w:tcPr>
          <w:p w14:paraId="6F10FCDF" w14:textId="77777777" w:rsidR="00D83F73" w:rsidRDefault="00000000">
            <w:pPr>
              <w:spacing w:after="320" w:before="0"/>
            </w:pPr>
            <w:r>
              <w:t>9–11</w:t>
            </w:r>
          </w:p>
        </w:tc>
        <w:tc>
          <w:tcPr>
            <w:tcW w:w="3009" w:type="dxa"/>
            <w:tcBorders>
              <w:top w:val="nil"/>
              <w:left w:val="nil"/>
              <w:bottom w:val="single" w:sz="4" w:space="0" w:color="000000"/>
              <w:right w:val="single" w:sz="4" w:space="0" w:color="000000"/>
            </w:tcBorders>
          </w:tcPr>
          <w:p w14:paraId="79C1F9FC" w14:textId="77777777" w:rsidR="00D83F73" w:rsidRDefault="00000000">
            <w:pPr>
              <w:spacing w:after="320" w:before="0"/>
            </w:pPr>
            <w:r>
              <w:t>Messaging and receipt workflow</w:t>
            </w:r>
          </w:p>
        </w:tc>
        <w:tc>
          <w:tcPr>
            <w:tcW w:w="3009" w:type="dxa"/>
            <w:tcBorders>
              <w:top w:val="nil"/>
              <w:left w:val="nil"/>
              <w:bottom w:val="single" w:sz="4" w:space="0" w:color="000000"/>
              <w:right w:val="single" w:sz="4" w:space="0" w:color="000000"/>
            </w:tcBorders>
          </w:tcPr>
          <w:p w14:paraId="21A025DF" w14:textId="77777777" w:rsidR="00D83F73" w:rsidRDefault="00000000">
            <w:pPr>
              <w:spacing w:after="320" w:before="0"/>
            </w:pPr>
            <w:r>
              <w:t>Persisted conversations and sent/delivered/read receipts</w:t>
            </w:r>
          </w:p>
        </w:tc>
      </w:tr>
      <w:tr w:rsidR="00D83F73" w14:paraId="3CD479B3" w14:textId="77777777">
        <w:trPr>
          <w:cantSplit/>
          <w:jc w:val="center"/>
        </w:trPr>
        <w:tc>
          <w:tcPr>
            <w:tcW w:w="3009" w:type="dxa"/>
            <w:tcBorders>
              <w:top w:val="nil"/>
              <w:left w:val="single" w:sz="4" w:space="0" w:color="000000"/>
              <w:bottom w:val="single" w:sz="4" w:space="0" w:color="000000"/>
              <w:right w:val="single" w:sz="4" w:space="0" w:color="000000"/>
            </w:tcBorders>
          </w:tcPr>
          <w:p w14:paraId="10797F0D" w14:textId="77777777" w:rsidR="00D83F73" w:rsidRDefault="00000000">
            <w:pPr>
              <w:spacing w:after="320" w:before="0"/>
            </w:pPr>
            <w:r>
              <w:t>11–12</w:t>
            </w:r>
          </w:p>
        </w:tc>
        <w:tc>
          <w:tcPr>
            <w:tcW w:w="3009" w:type="dxa"/>
            <w:tcBorders>
              <w:top w:val="nil"/>
              <w:left w:val="nil"/>
              <w:bottom w:val="single" w:sz="4" w:space="0" w:color="000000"/>
              <w:right w:val="single" w:sz="4" w:space="0" w:color="000000"/>
            </w:tcBorders>
          </w:tcPr>
          <w:p w14:paraId="200BCE25" w14:textId="77777777" w:rsidR="00D83F73" w:rsidRDefault="00000000">
            <w:pPr>
              <w:spacing w:after="320" w:before="0"/>
            </w:pPr>
            <w:r>
              <w:t>Verification and presentation</w:t>
            </w:r>
          </w:p>
        </w:tc>
        <w:tc>
          <w:tcPr>
            <w:tcW w:w="3009" w:type="dxa"/>
            <w:tcBorders>
              <w:top w:val="nil"/>
              <w:left w:val="nil"/>
              <w:bottom w:val="single" w:sz="4" w:space="0" w:color="000000"/>
              <w:right w:val="single" w:sz="4" w:space="0" w:color="000000"/>
            </w:tcBorders>
          </w:tcPr>
          <w:p w14:paraId="7FF032A9" w14:textId="77777777" w:rsidR="00D83F73" w:rsidRDefault="00000000">
            <w:pPr>
              <w:spacing w:after="320" w:before="0"/>
            </w:pPr>
            <w:r>
              <w:t>Functional verification, dissertation documentation and panel-demonstration preparation</w:t>
            </w:r>
          </w:p>
        </w:tc>
      </w:tr>
    </w:tbl>
    <w:p w14:paraId="3E4DAF0E" w14:textId="77777777" w:rsidR="00D83F73" w:rsidRDefault="00000000">
      <w:pPr>
        <w:spacing w:before="0" w:after="320"/>
      </w:pPr>
      <w:r>
        <w:t>Source: Author-developed twelve-week schedule, consistent with Table 1.2.</w:t>
      </w:r>
    </w:p>
    <w:p w14:paraId="45417C8F" w14:textId="77777777" w:rsidR="00624153" w:rsidRPr="00BB2286" w:rsidRDefault="00624153" w:rsidP="00BB2286">
      <w:pPr>
        <w:keepNext/>
        <w:spacing w:line="240" w:lineRule="auto"/>
        <w:jc w:val="center"/>
        <w:rPr>
          <w:lang w:val="en-ZW"/>
        </w:rPr>
      </w:pPr>
      <w:r>
        <w:rPr>
          <w:noProof/>
        </w:rPr>
        <w:drawing>
          <wp:inline distT="0" distB="0" distL="0" distR="0" wp14:anchorId="32031821" wp14:editId="3BC169C1">
            <wp:extent cx="5577840" cy="2342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77840" cy="2342693"/>
                    </a:xfrm>
                    <a:prstGeom prst="rect">
                      <a:avLst/>
                    </a:prstGeom>
                  </pic:spPr>
                </pic:pic>
              </a:graphicData>
            </a:graphic>
          </wp:inline>
        </w:drawing>
      </w:r>
    </w:p>
    <w:p w14:paraId="7C5456EF" w14:textId="77777777" w:rsidR="00BB2286" w:rsidRPr="00BB2286" w:rsidRDefault="00BB2286" w:rsidP="00BB2286">
      <w:pPr>
        <w:pStyle w:val="Caption2"/>
        <w:spacing w:before="0" w:after="320"/>
        <w:jc w:val="center"/>
        <w:rPr>
          <w:lang w:val="en-ZW"/>
        </w:rPr>
      </w:pPr>
      <w:r>
        <w:t>Figure 1.1: Twelve-week development Gantt chart</w:t>
      </w:r>
    </w:p>
    <w:p w14:paraId="4A97F89F" w14:textId="77777777" w:rsidR="00BB2286" w:rsidRPr="00BB2286" w:rsidRDefault="00BB2286" w:rsidP="00BB2286">
      <w:pPr>
        <w:pStyle w:val="Heading2"/>
        <w:spacing w:before="0" w:after="320"/>
        <w:rPr>
          <w:lang w:val="en-ZW"/>
        </w:rPr>
      </w:pPr>
      <w:r w:rsidRPr="00BB2286">
        <w:rPr>
          <w:lang w:val="en-ZW"/>
        </w:rPr>
        <w:lastRenderedPageBreak/>
        <w:t>1.10 Justification / Rationale</w:t>
      </w:r>
    </w:p>
    <w:p w14:paraId="4329D7E2" w14:textId="77777777" w:rsidR="00D83F73" w:rsidRDefault="00000000">
      <w:pPr>
        <w:spacing w:before="0" w:after="320"/>
      </w:pPr>
      <w:r>
        <w:t>The continued development of mobile money made transaction monitoring relevant to digital financial inclusion in Sub-Saharan Africa [1]. Zimbabwe’s financial-inclusion policy also recognised the importance of digital financial services [2]. The research addressed the need to retain these benefits while making potentially suspicious activity available for proportionate review.</w:t>
      </w:r>
    </w:p>
    <w:p w14:paraId="374BD710" w14:textId="77777777" w:rsidR="00D83F73" w:rsidRDefault="00000000">
      <w:pPr>
        <w:spacing w:before="0" w:after="320"/>
      </w:pPr>
      <w:r>
        <w:t>The research was justified by the possibility that relevant behaviour could be distributed across repeated payments, related wallets and agent interactions. Examining only an isolated amount could omit the relationships, timing and earlier activity needed to interpret the transaction.</w:t>
      </w:r>
    </w:p>
    <w:p w14:paraId="7386521B" w14:textId="77777777" w:rsidR="00D83F73" w:rsidRDefault="00000000">
      <w:pPr>
        <w:spacing w:before="0" w:after="320"/>
      </w:pPr>
      <w:r>
        <w:t>The study integrated three behavioural perspectives. Structuring features represented historical frequency and amount patterns; wallet-network features represented relationships and value flows; and agent-related features represented earlier service activity. Together, these perspectives supplied contextual information for the frozen classifier.</w:t>
      </w:r>
    </w:p>
    <w:p w14:paraId="0308D916" w14:textId="77777777" w:rsidR="00D83F73" w:rsidRDefault="00000000">
      <w:pPr>
        <w:spacing w:before="0" w:after="320"/>
      </w:pPr>
      <w:r>
        <w:t>The research investigated whether combinations of behavioural characteristics could distinguish normal from suspicious-pattern transactions in the controlled synthetic population. Prior AML studies supported the use of machine learning for transaction prioritisation [3]. The application consequently retained human investigation as the decision-making authority.</w:t>
      </w:r>
    </w:p>
    <w:p w14:paraId="057CDD77" w14:textId="77777777" w:rsidR="00D83F73" w:rsidRDefault="00000000">
      <w:pPr>
        <w:spacing w:before="0" w:after="320"/>
      </w:pPr>
      <w:r>
        <w:t>The study also provided a controlled experimental approach where operational AML data were unavailable. Synthetic scenarios represented normal activity and suspicious patterns across the three behavioural dimensions, enabling reproducible comparisons without exposing operational customer records. Chapter 3 explains the data construction and evaluation controls; the limits of synthetic external validity remained explicit.</w:t>
      </w:r>
    </w:p>
    <w:p w14:paraId="2248C1C0" w14:textId="77777777" w:rsidR="00D83F73" w:rsidRDefault="00000000">
      <w:pPr>
        <w:spacing w:before="0" w:after="320"/>
      </w:pPr>
      <w:r>
        <w:t>In response to the coordination problem in Section 1.3 and the literature gap examined in Chapter 2, the research integrated investigation with machine-learning assessment. Classification alone did not complete the workflow: authorised staff needed to inspect the payment history, compare separate AI and rule findings, retain notes and record an outcome. Real-time updates made changes available without replacing the persistent evidence.</w:t>
      </w:r>
    </w:p>
    <w:p w14:paraId="5C3DB0F7" w14:textId="77777777" w:rsidR="00D83F73" w:rsidRDefault="00000000">
      <w:pPr>
        <w:spacing w:before="0" w:after="320"/>
      </w:pPr>
      <w:r>
        <w:t>The contribution was both technical and academic: it connected historical behavioural analysis, frozen classification, financial processing, alert management and investigation within one Zimbabwe-focused mobile-money AML application.</w:t>
      </w:r>
    </w:p>
    <w:p w14:paraId="45BAD699" w14:textId="77777777" w:rsidR="00D83F73" w:rsidRDefault="00000000">
      <w:pPr>
        <w:spacing w:before="0" w:after="320"/>
      </w:pPr>
      <w:r>
        <w:lastRenderedPageBreak/>
        <w:t>The transaction generation module also had methodological value. A panel could observe a customer baseline, inspect the generated sequence and compare that sequence with a resulting model decision or rule indicator. This made behavioural interpretation more transparent than demonstrating isolated unexplained alerts. The intended scenario mixture remained separate from the actual prediction distribution, allowing an unsuccessful suspicious scenario or an unexpected routine alert to be discussed honestly. A unique request identity and wallet reconciliation linked each observation to one committed transaction rather than to an uncertain repeated submission.</w:t>
      </w:r>
    </w:p>
    <w:p w14:paraId="2BC78C17" w14:textId="77777777" w:rsidR="00D83F73" w:rsidRDefault="00000000">
      <w:pPr>
        <w:spacing w:before="0" w:after="320"/>
      </w:pPr>
      <w:r>
        <w:t>Professional communication extended the investigation process beyond an alert list. A compliance officer could request context from a customer, retain the exchange and coordinate an authorised administrative response. Stored conversation history and distinct sent, delivered and read receipts made the communication state observable. Together with role restrictions and separate AI and rule evidence, these functions supported accountable review. The contribution was the coordination of these processes within one application and a reproducible demonstration method, rather than a claim that the software independently established criminal conduct.</w:t>
      </w:r>
    </w:p>
    <w:p w14:paraId="21562666" w14:textId="77777777" w:rsidR="00BB2286" w:rsidRPr="00BB2286" w:rsidRDefault="00BB2286" w:rsidP="00BB2286">
      <w:pPr>
        <w:pStyle w:val="Heading2"/>
        <w:spacing w:before="0" w:after="320"/>
        <w:rPr>
          <w:lang w:val="en-ZW"/>
        </w:rPr>
      </w:pPr>
      <w:r w:rsidRPr="00BB2286">
        <w:rPr>
          <w:lang w:val="en-ZW"/>
        </w:rPr>
        <w:t>1.11 Summary</w:t>
      </w:r>
    </w:p>
    <w:p w14:paraId="010BDAF2" w14:textId="77777777" w:rsidR="002951D5" w:rsidRDefault="00CB48CD" w:rsidP="00BB2286">
      <w:pPr>
        <w:spacing w:before="0" w:after="320"/>
      </w:pPr>
      <w:r>
        <w:t xml:space="preserve">This chapter introduced the Zimbabwean mobile-money AML problem, the research </w:t>
      </w:r>
      <w:proofErr w:type="gramStart"/>
      <w:r>
        <w:t>aim</w:t>
      </w:r>
      <w:proofErr w:type="gramEnd"/>
      <w:r>
        <w:t xml:space="preserve"> and five SMART objectives: a transaction generation module, a Redis/WebSocket real-time engine, a compliance dashboard, AI-and-rule risk assessment incorporating trained XGBoost, and professional messaging. Each objective contains a measurable panel task and an execution-time target, in addition to its development deadline. The background explained structuring, wallet-network and agent behaviour, and identified the frozen V4 model and independent rules as distinct sources of evidence. The limitations and delimitations distinguished synthetic validation from operational effectiveness, local integration from external production deployment, and suspicious-pattern classification from a finding of criminal conduct. Development instruments and the approved twelve-week plan were also presented. Chapter 2 critically reviews the supporting literature and the gaps addressed by the implemented workflows.</w:t>
      </w:r>
    </w:p>
    <w:sectPr w:rsidR="002951D5">
      <w:footerReference w:type="default" r:id="rId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24BEB" w14:textId="77777777" w:rsidR="00246E98" w:rsidRDefault="00246E98">
      <w:pPr>
        <w:spacing w:after="0" w:line="240" w:lineRule="auto"/>
      </w:pPr>
      <w:r>
        <w:separator/>
      </w:r>
    </w:p>
  </w:endnote>
  <w:endnote w:type="continuationSeparator" w:id="0">
    <w:p w14:paraId="6D39610C" w14:textId="77777777" w:rsidR="00246E98" w:rsidRDefault="0024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9AA8" w14:textId="77777777" w:rsidR="0067204D" w:rsidRDefault="00000000">
    <w:pPr>
      <w:jc w:val="center"/>
    </w:pPr>
    <w:r>
      <w:fldChar w:fldCharType="begin"/>
    </w:r>
    <w:r>
      <w:instrText>PAGE</w:instrText>
    </w:r>
    <w:r>
      <w:fldChar w:fldCharType="separate"/>
    </w:r>
    <w:r w:rsidR="007603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11A5F" w14:textId="77777777" w:rsidR="00246E98" w:rsidRDefault="00246E98">
      <w:pPr>
        <w:spacing w:after="0" w:line="240" w:lineRule="auto"/>
      </w:pPr>
      <w:r>
        <w:separator/>
      </w:r>
    </w:p>
  </w:footnote>
  <w:footnote w:type="continuationSeparator" w:id="0">
    <w:p w14:paraId="2C1DF99E" w14:textId="77777777" w:rsidR="00246E98" w:rsidRDefault="00246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54D66"/>
    <w:multiLevelType w:val="hybridMultilevel"/>
    <w:tmpl w:val="14508D2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2137D16"/>
    <w:multiLevelType w:val="hybridMultilevel"/>
    <w:tmpl w:val="31AAC7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2B1048A5"/>
    <w:multiLevelType w:val="multilevel"/>
    <w:tmpl w:val="70E4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21707"/>
    <w:multiLevelType w:val="hybridMultilevel"/>
    <w:tmpl w:val="2514EE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31DC76ED"/>
    <w:multiLevelType w:val="multilevel"/>
    <w:tmpl w:val="8734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C51A5"/>
    <w:multiLevelType w:val="hybridMultilevel"/>
    <w:tmpl w:val="0C24256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42045D6C"/>
    <w:multiLevelType w:val="hybridMultilevel"/>
    <w:tmpl w:val="9D7E6E30"/>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7" w15:restartNumberingAfterBreak="0">
    <w:nsid w:val="47B94A46"/>
    <w:multiLevelType w:val="multilevel"/>
    <w:tmpl w:val="4F2248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E572756"/>
    <w:multiLevelType w:val="hybridMultilevel"/>
    <w:tmpl w:val="5D18FE5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77C7937"/>
    <w:multiLevelType w:val="multilevel"/>
    <w:tmpl w:val="0F3E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4E1CE6"/>
    <w:multiLevelType w:val="hybridMultilevel"/>
    <w:tmpl w:val="94B449A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680281677">
    <w:abstractNumId w:val="7"/>
  </w:num>
  <w:num w:numId="2" w16cid:durableId="851725434">
    <w:abstractNumId w:val="3"/>
  </w:num>
  <w:num w:numId="3" w16cid:durableId="1846359277">
    <w:abstractNumId w:val="8"/>
  </w:num>
  <w:num w:numId="4" w16cid:durableId="1064521839">
    <w:abstractNumId w:val="5"/>
  </w:num>
  <w:num w:numId="5" w16cid:durableId="632246571">
    <w:abstractNumId w:val="1"/>
  </w:num>
  <w:num w:numId="6" w16cid:durableId="1863467859">
    <w:abstractNumId w:val="0"/>
  </w:num>
  <w:num w:numId="7" w16cid:durableId="166094609">
    <w:abstractNumId w:val="6"/>
  </w:num>
  <w:num w:numId="8" w16cid:durableId="1847868356">
    <w:abstractNumId w:val="10"/>
  </w:num>
  <w:num w:numId="9" w16cid:durableId="92478292">
    <w:abstractNumId w:val="4"/>
  </w:num>
  <w:num w:numId="10" w16cid:durableId="735782068">
    <w:abstractNumId w:val="2"/>
  </w:num>
  <w:num w:numId="11" w16cid:durableId="508101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1C"/>
    <w:rsid w:val="00012268"/>
    <w:rsid w:val="0003001C"/>
    <w:rsid w:val="000361C2"/>
    <w:rsid w:val="00043AB6"/>
    <w:rsid w:val="000D3955"/>
    <w:rsid w:val="0010757D"/>
    <w:rsid w:val="00123009"/>
    <w:rsid w:val="0013106B"/>
    <w:rsid w:val="00142582"/>
    <w:rsid w:val="001B72DE"/>
    <w:rsid w:val="001D7C88"/>
    <w:rsid w:val="001E2D9A"/>
    <w:rsid w:val="001F7389"/>
    <w:rsid w:val="0020011C"/>
    <w:rsid w:val="002022B0"/>
    <w:rsid w:val="0023744A"/>
    <w:rsid w:val="00240CD0"/>
    <w:rsid w:val="00246E98"/>
    <w:rsid w:val="002671EE"/>
    <w:rsid w:val="00272DC8"/>
    <w:rsid w:val="002741BB"/>
    <w:rsid w:val="002804C3"/>
    <w:rsid w:val="002951D5"/>
    <w:rsid w:val="002A1034"/>
    <w:rsid w:val="002C2028"/>
    <w:rsid w:val="002D1D45"/>
    <w:rsid w:val="002E57D3"/>
    <w:rsid w:val="002E65E5"/>
    <w:rsid w:val="00306F02"/>
    <w:rsid w:val="00310BA6"/>
    <w:rsid w:val="00316EE2"/>
    <w:rsid w:val="0033232B"/>
    <w:rsid w:val="0033312F"/>
    <w:rsid w:val="00344B71"/>
    <w:rsid w:val="00370D55"/>
    <w:rsid w:val="0037136A"/>
    <w:rsid w:val="00387BFD"/>
    <w:rsid w:val="00397011"/>
    <w:rsid w:val="003A74FF"/>
    <w:rsid w:val="003C6C55"/>
    <w:rsid w:val="003D46AB"/>
    <w:rsid w:val="003D588A"/>
    <w:rsid w:val="003E6316"/>
    <w:rsid w:val="003F6821"/>
    <w:rsid w:val="00406A91"/>
    <w:rsid w:val="00413D42"/>
    <w:rsid w:val="00436F35"/>
    <w:rsid w:val="00462D9F"/>
    <w:rsid w:val="0049622B"/>
    <w:rsid w:val="004C2594"/>
    <w:rsid w:val="004C3DD0"/>
    <w:rsid w:val="0050465A"/>
    <w:rsid w:val="0051597C"/>
    <w:rsid w:val="00534891"/>
    <w:rsid w:val="00554104"/>
    <w:rsid w:val="00555225"/>
    <w:rsid w:val="00555D7D"/>
    <w:rsid w:val="00577603"/>
    <w:rsid w:val="00592B49"/>
    <w:rsid w:val="005A01E1"/>
    <w:rsid w:val="005B6F86"/>
    <w:rsid w:val="005C27CB"/>
    <w:rsid w:val="00620F53"/>
    <w:rsid w:val="00624153"/>
    <w:rsid w:val="00664F9E"/>
    <w:rsid w:val="0067204D"/>
    <w:rsid w:val="006B7C0B"/>
    <w:rsid w:val="00732340"/>
    <w:rsid w:val="007603E1"/>
    <w:rsid w:val="0076574E"/>
    <w:rsid w:val="007717CF"/>
    <w:rsid w:val="007729B4"/>
    <w:rsid w:val="0078042A"/>
    <w:rsid w:val="00802075"/>
    <w:rsid w:val="00804653"/>
    <w:rsid w:val="00812400"/>
    <w:rsid w:val="00845891"/>
    <w:rsid w:val="00856410"/>
    <w:rsid w:val="008D49FA"/>
    <w:rsid w:val="008D7B70"/>
    <w:rsid w:val="008E6A73"/>
    <w:rsid w:val="00915D88"/>
    <w:rsid w:val="00963ECD"/>
    <w:rsid w:val="009C474D"/>
    <w:rsid w:val="009F062D"/>
    <w:rsid w:val="00A24C39"/>
    <w:rsid w:val="00A7695D"/>
    <w:rsid w:val="00AD03B7"/>
    <w:rsid w:val="00AE13E1"/>
    <w:rsid w:val="00B02DAE"/>
    <w:rsid w:val="00B27B1F"/>
    <w:rsid w:val="00B37D42"/>
    <w:rsid w:val="00B67F89"/>
    <w:rsid w:val="00B741F9"/>
    <w:rsid w:val="00BB2286"/>
    <w:rsid w:val="00BB2784"/>
    <w:rsid w:val="00BD47F6"/>
    <w:rsid w:val="00BD6A76"/>
    <w:rsid w:val="00BE39F6"/>
    <w:rsid w:val="00BE644D"/>
    <w:rsid w:val="00C01858"/>
    <w:rsid w:val="00C06BF9"/>
    <w:rsid w:val="00C31696"/>
    <w:rsid w:val="00C518FA"/>
    <w:rsid w:val="00C7264B"/>
    <w:rsid w:val="00C96FAD"/>
    <w:rsid w:val="00CA536F"/>
    <w:rsid w:val="00CB1C2A"/>
    <w:rsid w:val="00CB48CD"/>
    <w:rsid w:val="00CC2B84"/>
    <w:rsid w:val="00D03C1A"/>
    <w:rsid w:val="00D138D6"/>
    <w:rsid w:val="00D351BA"/>
    <w:rsid w:val="00D723D1"/>
    <w:rsid w:val="00D76EA5"/>
    <w:rsid w:val="00D82D75"/>
    <w:rsid w:val="00D83F73"/>
    <w:rsid w:val="00DB69B7"/>
    <w:rsid w:val="00E03618"/>
    <w:rsid w:val="00E3030C"/>
    <w:rsid w:val="00E36522"/>
    <w:rsid w:val="00E53D29"/>
    <w:rsid w:val="00E67F1E"/>
    <w:rsid w:val="00E72482"/>
    <w:rsid w:val="00E84CB8"/>
    <w:rsid w:val="00E84ED0"/>
    <w:rsid w:val="00E92DB2"/>
    <w:rsid w:val="00EE48F8"/>
    <w:rsid w:val="00F05B38"/>
    <w:rsid w:val="00F16489"/>
    <w:rsid w:val="00F94E39"/>
    <w:rsid w:val="00FA1029"/>
    <w:rsid w:val="00FA5150"/>
    <w:rsid w:val="00FB2E55"/>
    <w:rsid w:val="00FC0E10"/>
    <w:rsid w:val="00FE0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3858"/>
  <w15:chartTrackingRefBased/>
  <w15:docId w15:val="{D9180538-DCF0-48BC-99E7-B103969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style>
  <w:style w:type="paragraph" w:styleId="Heading1">
    <w:name w:val="heading 1"/>
    <w:basedOn w:val="Normal"/>
    <w:next w:val="Normal"/>
    <w:link w:val="Heading1Char"/>
    <w:uiPriority w:val="9"/>
    <w:qFormat/>
    <w:rsid w:val="0003001C"/>
    <w:pPr>
      <w:keepNext/>
      <w:keepLines/>
      <w:spacing w:before="200"/>
      <w:outlineLvl w:val="0"/>
    </w:pPr>
    <w:rPr>
      <w:b/>
      <w:bCs/>
    </w:rPr>
  </w:style>
  <w:style w:type="paragraph" w:styleId="Heading2">
    <w:name w:val="heading 2"/>
    <w:basedOn w:val="Normal"/>
    <w:next w:val="Normal"/>
    <w:link w:val="Heading2Char"/>
    <w:uiPriority w:val="9"/>
    <w:semiHidden/>
    <w:unhideWhenUsed/>
    <w:qFormat/>
    <w:rsid w:val="0003001C"/>
    <w:pPr>
      <w:keepNext/>
      <w:keepLines/>
      <w:spacing w:before="200"/>
      <w:outlineLvl w:val="1"/>
    </w:pPr>
    <w:rPr>
      <w:b/>
      <w:bCs/>
    </w:rPr>
  </w:style>
  <w:style w:type="paragraph" w:styleId="Heading3">
    <w:name w:val="heading 3"/>
    <w:basedOn w:val="Normal"/>
    <w:next w:val="Normal"/>
    <w:link w:val="Heading3Char"/>
    <w:uiPriority w:val="9"/>
    <w:semiHidden/>
    <w:unhideWhenUsed/>
    <w:qFormat/>
    <w:rsid w:val="0003001C"/>
    <w:pPr>
      <w:keepNext/>
      <w:keepLines/>
      <w:spacing w:before="160"/>
      <w:outlineLvl w:val="2"/>
    </w:pPr>
    <w:rPr>
      <w:b/>
      <w:bCs/>
    </w:rPr>
  </w:style>
  <w:style w:type="paragraph" w:styleId="Heading4">
    <w:name w:val="heading 4"/>
    <w:basedOn w:val="Normal"/>
    <w:next w:val="Normal"/>
    <w:link w:val="Heading4Char"/>
    <w:uiPriority w:val="9"/>
    <w:semiHidden/>
    <w:unhideWhenUsed/>
    <w:qFormat/>
    <w:rsid w:val="0003001C"/>
    <w:pPr>
      <w:keepNext/>
      <w:keepLines/>
      <w:spacing w:before="80" w:after="40"/>
      <w:outlineLvl w:val="3"/>
    </w:pPr>
    <w:rPr>
      <w:b/>
      <w:bCs/>
      <w:i/>
      <w:iCs/>
    </w:rPr>
  </w:style>
  <w:style w:type="paragraph" w:styleId="Heading5">
    <w:name w:val="heading 5"/>
    <w:basedOn w:val="Normal"/>
    <w:next w:val="Normal"/>
    <w:link w:val="Heading5Char"/>
    <w:uiPriority w:val="9"/>
    <w:semiHidden/>
    <w:unhideWhenUsed/>
    <w:qFormat/>
    <w:rsid w:val="0003001C"/>
    <w:pPr>
      <w:keepNext/>
      <w:keepLines/>
      <w:spacing w:before="80" w:after="40"/>
      <w:outlineLvl w:val="4"/>
    </w:pPr>
    <w:rPr>
      <w:b/>
      <w:bCs/>
    </w:rPr>
  </w:style>
  <w:style w:type="paragraph" w:styleId="Heading6">
    <w:name w:val="heading 6"/>
    <w:basedOn w:val="Normal"/>
    <w:next w:val="Normal"/>
    <w:link w:val="Heading6Char"/>
    <w:uiPriority w:val="9"/>
    <w:semiHidden/>
    <w:unhideWhenUsed/>
    <w:qFormat/>
    <w:rsid w:val="0003001C"/>
    <w:pPr>
      <w:keepNext/>
      <w:keepLines/>
      <w:spacing w:before="40" w:after="0"/>
      <w:outlineLvl w:val="5"/>
    </w:pPr>
    <w:rPr>
      <w:b/>
      <w:bCs/>
      <w:i/>
      <w:iCs/>
    </w:rPr>
  </w:style>
  <w:style w:type="paragraph" w:styleId="Heading7">
    <w:name w:val="heading 7"/>
    <w:basedOn w:val="Normal"/>
    <w:next w:val="Normal"/>
    <w:link w:val="Heading7Char"/>
    <w:uiPriority w:val="9"/>
    <w:semiHidden/>
    <w:unhideWhenUsed/>
    <w:qFormat/>
    <w:rsid w:val="0003001C"/>
    <w:pPr>
      <w:keepNext/>
      <w:keepLines/>
      <w:spacing w:before="40" w:after="0"/>
      <w:outlineLvl w:val="6"/>
    </w:pPr>
    <w:rPr>
      <w:b/>
      <w:bCs/>
    </w:rPr>
  </w:style>
  <w:style w:type="paragraph" w:styleId="Heading8">
    <w:name w:val="heading 8"/>
    <w:basedOn w:val="Normal"/>
    <w:next w:val="Normal"/>
    <w:link w:val="Heading8Char"/>
    <w:uiPriority w:val="9"/>
    <w:semiHidden/>
    <w:unhideWhenUsed/>
    <w:qFormat/>
    <w:rsid w:val="0003001C"/>
    <w:pPr>
      <w:keepNext/>
      <w:keepLines/>
      <w:spacing w:after="0"/>
      <w:outlineLvl w:val="7"/>
    </w:pPr>
    <w:rPr>
      <w:b/>
      <w:bCs/>
      <w:i/>
      <w:iCs/>
    </w:rPr>
  </w:style>
  <w:style w:type="paragraph" w:styleId="Heading9">
    <w:name w:val="heading 9"/>
    <w:basedOn w:val="Normal"/>
    <w:next w:val="Normal"/>
    <w:link w:val="Heading9Char"/>
    <w:uiPriority w:val="9"/>
    <w:semiHidden/>
    <w:unhideWhenUsed/>
    <w:qFormat/>
    <w:rsid w:val="0003001C"/>
    <w:pPr>
      <w:keepNext/>
      <w:keepLines/>
      <w:spacing w:after="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1C"/>
    <w:rPr>
      <w:rFonts w:ascii="Times New Roman" w:eastAsia="Times New Roman" w:hAnsi="Times New Roman" w:cs="Times New Roman"/>
      <w:b/>
      <w:bCs/>
      <w:color w:val="000000"/>
      <w:sz w:val="24"/>
      <w:szCs w:val="24"/>
      <w:u w:val="none"/>
    </w:rPr>
  </w:style>
  <w:style w:type="character" w:customStyle="1" w:styleId="Heading2Char">
    <w:name w:val="Heading 2 Char"/>
    <w:basedOn w:val="DefaultParagraphFont"/>
    <w:link w:val="Heading2"/>
    <w:uiPriority w:val="9"/>
    <w:semiHidden/>
    <w:rsid w:val="0003001C"/>
    <w:rPr>
      <w:rFonts w:ascii="Times New Roman" w:eastAsia="Times New Roman" w:hAnsi="Times New Roman" w:cs="Times New Roman"/>
      <w:b/>
      <w:bCs/>
      <w:color w:val="000000"/>
      <w:sz w:val="24"/>
      <w:szCs w:val="24"/>
      <w:u w:val="none"/>
    </w:rPr>
  </w:style>
  <w:style w:type="character" w:customStyle="1" w:styleId="Heading3Char">
    <w:name w:val="Heading 3 Char"/>
    <w:basedOn w:val="DefaultParagraphFont"/>
    <w:link w:val="Heading3"/>
    <w:uiPriority w:val="9"/>
    <w:semiHidden/>
    <w:rsid w:val="0003001C"/>
    <w:rPr>
      <w:rFonts w:ascii="Times New Roman" w:eastAsia="Times New Roman" w:hAnsi="Times New Roman" w:cs="Times New Roman"/>
      <w:b/>
      <w:bCs/>
      <w:color w:val="000000"/>
      <w:sz w:val="24"/>
      <w:szCs w:val="24"/>
      <w:u w:val="none"/>
    </w:rPr>
  </w:style>
  <w:style w:type="character" w:customStyle="1" w:styleId="Heading4Char">
    <w:name w:val="Heading 4 Char"/>
    <w:basedOn w:val="DefaultParagraphFont"/>
    <w:link w:val="Heading4"/>
    <w:uiPriority w:val="9"/>
    <w:semiHidden/>
    <w:rsid w:val="0003001C"/>
    <w:rPr>
      <w:rFonts w:ascii="Times New Roman" w:eastAsia="Times New Roman" w:hAnsi="Times New Roman" w:cs="Times New Roman"/>
      <w:b/>
      <w:bCs/>
      <w:i/>
      <w:iCs/>
      <w:color w:val="000000"/>
      <w:sz w:val="24"/>
      <w:szCs w:val="24"/>
      <w:u w:val="none"/>
    </w:rPr>
  </w:style>
  <w:style w:type="character" w:customStyle="1" w:styleId="Heading5Char">
    <w:name w:val="Heading 5 Char"/>
    <w:basedOn w:val="DefaultParagraphFont"/>
    <w:link w:val="Heading5"/>
    <w:uiPriority w:val="9"/>
    <w:semiHidden/>
    <w:rsid w:val="0003001C"/>
    <w:rPr>
      <w:rFonts w:ascii="Times New Roman" w:eastAsia="Times New Roman" w:hAnsi="Times New Roman" w:cs="Times New Roman"/>
      <w:b/>
      <w:bCs/>
      <w:color w:val="000000"/>
      <w:sz w:val="24"/>
      <w:szCs w:val="24"/>
      <w:u w:val="none"/>
    </w:rPr>
  </w:style>
  <w:style w:type="character" w:customStyle="1" w:styleId="Heading6Char">
    <w:name w:val="Heading 6 Char"/>
    <w:basedOn w:val="DefaultParagraphFont"/>
    <w:link w:val="Heading6"/>
    <w:uiPriority w:val="9"/>
    <w:semiHidden/>
    <w:rsid w:val="0003001C"/>
    <w:rPr>
      <w:rFonts w:ascii="Times New Roman" w:eastAsia="Times New Roman" w:hAnsi="Times New Roman" w:cs="Times New Roman"/>
      <w:b/>
      <w:bCs/>
      <w:i/>
      <w:iCs/>
      <w:color w:val="000000"/>
      <w:sz w:val="24"/>
      <w:szCs w:val="24"/>
      <w:u w:val="none"/>
    </w:rPr>
  </w:style>
  <w:style w:type="character" w:customStyle="1" w:styleId="Heading7Char">
    <w:name w:val="Heading 7 Char"/>
    <w:basedOn w:val="DefaultParagraphFont"/>
    <w:link w:val="Heading7"/>
    <w:uiPriority w:val="9"/>
    <w:semiHidden/>
    <w:rsid w:val="0003001C"/>
    <w:rPr>
      <w:rFonts w:ascii="Times New Roman" w:eastAsia="Times New Roman" w:hAnsi="Times New Roman" w:cs="Times New Roman"/>
      <w:b/>
      <w:bCs/>
      <w:color w:val="000000"/>
      <w:sz w:val="24"/>
      <w:szCs w:val="24"/>
      <w:u w:val="none"/>
    </w:rPr>
  </w:style>
  <w:style w:type="character" w:customStyle="1" w:styleId="Heading8Char">
    <w:name w:val="Heading 8 Char"/>
    <w:basedOn w:val="DefaultParagraphFont"/>
    <w:link w:val="Heading8"/>
    <w:uiPriority w:val="9"/>
    <w:semiHidden/>
    <w:rsid w:val="0003001C"/>
    <w:rPr>
      <w:rFonts w:ascii="Times New Roman" w:eastAsia="Times New Roman" w:hAnsi="Times New Roman" w:cs="Times New Roman"/>
      <w:b/>
      <w:bCs/>
      <w:i/>
      <w:iCs/>
      <w:color w:val="000000"/>
      <w:sz w:val="24"/>
      <w:szCs w:val="24"/>
      <w:u w:val="none"/>
    </w:rPr>
  </w:style>
  <w:style w:type="character" w:customStyle="1" w:styleId="Heading9Char">
    <w:name w:val="Heading 9 Char"/>
    <w:basedOn w:val="DefaultParagraphFont"/>
    <w:link w:val="Heading9"/>
    <w:uiPriority w:val="9"/>
    <w:semiHidden/>
    <w:rsid w:val="0003001C"/>
    <w:rPr>
      <w:rFonts w:ascii="Times New Roman" w:eastAsia="Times New Roman" w:hAnsi="Times New Roman" w:cs="Times New Roman"/>
      <w:b/>
      <w:bCs/>
      <w:color w:val="000000"/>
      <w:sz w:val="24"/>
      <w:szCs w:val="24"/>
      <w:u w:val="none"/>
    </w:rPr>
  </w:style>
  <w:style w:type="paragraph" w:styleId="Title">
    <w:name w:val="Title"/>
    <w:basedOn w:val="Normal"/>
    <w:next w:val="Normal"/>
    <w:link w:val="TitleChar"/>
    <w:uiPriority w:val="10"/>
    <w:qFormat/>
    <w:rsid w:val="0003001C"/>
    <w:pPr>
      <w:keepNext/>
      <w:spacing w:after="80" w:line="240" w:lineRule="auto"/>
      <w:contextualSpacing/>
    </w:pPr>
    <w:rPr>
      <w:b/>
      <w:bCs/>
      <w:spacing w:val="-10"/>
      <w:kern w:val="28"/>
    </w:rPr>
  </w:style>
  <w:style w:type="character" w:customStyle="1" w:styleId="TitleChar">
    <w:name w:val="Title Char"/>
    <w:basedOn w:val="DefaultParagraphFont"/>
    <w:link w:val="Title"/>
    <w:uiPriority w:val="10"/>
    <w:rsid w:val="0003001C"/>
    <w:rPr>
      <w:rFonts w:ascii="Times New Roman" w:eastAsia="Times New Roman" w:hAnsi="Times New Roman" w:cs="Times New Roman"/>
      <w:b/>
      <w:bCs/>
      <w:color w:val="000000"/>
      <w:spacing w:val="-10"/>
      <w:kern w:val="28"/>
      <w:sz w:val="24"/>
      <w:szCs w:val="24"/>
      <w:u w:val="none"/>
    </w:rPr>
  </w:style>
  <w:style w:type="paragraph" w:styleId="Subtitle">
    <w:name w:val="Subtitle"/>
    <w:basedOn w:val="Normal"/>
    <w:next w:val="Normal"/>
    <w:link w:val="SubtitleChar"/>
    <w:uiPriority w:val="11"/>
    <w:qFormat/>
    <w:rsid w:val="0003001C"/>
    <w:pPr>
      <w:keepNext/>
      <w:numPr>
        <w:ilvl w:val="1"/>
      </w:numPr>
    </w:pPr>
    <w:rPr>
      <w:b/>
      <w:bCs/>
      <w:spacing w:val="15"/>
    </w:rPr>
  </w:style>
  <w:style w:type="character" w:customStyle="1" w:styleId="SubtitleChar">
    <w:name w:val="Subtitle Char"/>
    <w:basedOn w:val="DefaultParagraphFont"/>
    <w:link w:val="Subtitle"/>
    <w:uiPriority w:val="11"/>
    <w:rsid w:val="0003001C"/>
    <w:rPr>
      <w:rFonts w:ascii="Times New Roman" w:eastAsia="Times New Roman" w:hAnsi="Times New Roman" w:cs="Times New Roman"/>
      <w:b/>
      <w:bCs/>
      <w:color w:val="000000"/>
      <w:spacing w:val="15"/>
      <w:sz w:val="24"/>
      <w:szCs w:val="24"/>
      <w:u w:val="none"/>
    </w:rPr>
  </w:style>
  <w:style w:type="paragraph" w:styleId="Quote">
    <w:name w:val="Quote"/>
    <w:basedOn w:val="Normal"/>
    <w:next w:val="Normal"/>
    <w:link w:val="QuoteChar"/>
    <w:uiPriority w:val="29"/>
    <w:qFormat/>
    <w:rsid w:val="0003001C"/>
    <w:pPr>
      <w:spacing w:before="160"/>
      <w:jc w:val="center"/>
    </w:pPr>
    <w:rPr>
      <w:i/>
      <w:iCs/>
    </w:rPr>
  </w:style>
  <w:style w:type="character" w:customStyle="1" w:styleId="QuoteChar">
    <w:name w:val="Quote Char"/>
    <w:basedOn w:val="DefaultParagraphFont"/>
    <w:link w:val="Quote"/>
    <w:uiPriority w:val="29"/>
    <w:rsid w:val="0003001C"/>
    <w:rPr>
      <w:rFonts w:ascii="Times New Roman" w:eastAsia="Times New Roman" w:hAnsi="Times New Roman" w:cs="Times New Roman"/>
      <w:i/>
      <w:iCs/>
      <w:color w:val="000000"/>
      <w:sz w:val="24"/>
      <w:szCs w:val="24"/>
    </w:rPr>
  </w:style>
  <w:style w:type="paragraph" w:styleId="ListParagraph">
    <w:name w:val="List Paragraph"/>
    <w:basedOn w:val="Normal"/>
    <w:uiPriority w:val="34"/>
    <w:qFormat/>
    <w:rsid w:val="0003001C"/>
    <w:pPr>
      <w:ind w:left="720"/>
      <w:contextualSpacing/>
    </w:pPr>
  </w:style>
  <w:style w:type="character" w:styleId="IntenseEmphasis">
    <w:name w:val="Intense Emphasis"/>
    <w:basedOn w:val="DefaultParagraphFont"/>
    <w:uiPriority w:val="21"/>
    <w:qFormat/>
    <w:rsid w:val="0003001C"/>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03001C"/>
    <w:pPr>
      <w:pBdr>
        <w:top w:val="single" w:sz="4" w:space="10" w:color="2E74B5" w:themeColor="accent1" w:themeShade="BF"/>
        <w:bottom w:val="single" w:sz="4" w:space="10" w:color="2E74B5"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03001C"/>
    <w:rPr>
      <w:rFonts w:ascii="Times New Roman" w:eastAsia="Times New Roman" w:hAnsi="Times New Roman" w:cs="Times New Roman"/>
      <w:i/>
      <w:iCs/>
      <w:color w:val="000000"/>
      <w:sz w:val="24"/>
      <w:szCs w:val="24"/>
    </w:rPr>
  </w:style>
  <w:style w:type="character" w:styleId="IntenseReference">
    <w:name w:val="Intense Reference"/>
    <w:basedOn w:val="DefaultParagraphFont"/>
    <w:uiPriority w:val="32"/>
    <w:qFormat/>
    <w:rsid w:val="0003001C"/>
    <w:rPr>
      <w:rFonts w:ascii="Times New Roman" w:eastAsia="Times New Roman" w:hAnsi="Times New Roman" w:cs="Times New Roman"/>
      <w:b/>
      <w:bCs/>
      <w:smallCaps/>
      <w:color w:val="000000"/>
      <w:spacing w:val="5"/>
      <w:sz w:val="24"/>
      <w:szCs w:val="24"/>
    </w:rPr>
  </w:style>
  <w:style w:type="table" w:styleId="TableGrid">
    <w:name w:val="Table Grid"/>
    <w:basedOn w:val="TableNormal"/>
    <w:uiPriority w:val="39"/>
    <w:rsid w:val="00592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29B4"/>
    <w:rPr>
      <w:rFonts w:ascii="Times New Roman" w:eastAsia="Times New Roman" w:hAnsi="Times New Roman" w:cs="Times New Roman"/>
      <w:color w:val="000000"/>
      <w:sz w:val="24"/>
      <w:szCs w:val="24"/>
      <w:u w:val="single"/>
    </w:rPr>
  </w:style>
  <w:style w:type="character" w:styleId="UnresolvedMention">
    <w:name w:val="Unresolved Mention"/>
    <w:basedOn w:val="DefaultParagraphFont"/>
    <w:uiPriority w:val="99"/>
    <w:semiHidden/>
    <w:unhideWhenUsed/>
    <w:rsid w:val="007729B4"/>
    <w:rPr>
      <w:rFonts w:ascii="Times New Roman" w:eastAsia="Times New Roman" w:hAnsi="Times New Roman" w:cs="Times New Roman"/>
      <w:color w:val="000000"/>
      <w:sz w:val="24"/>
      <w:szCs w:val="24"/>
      <w:shd w:val="clear" w:color="auto" w:fill="E1DFDD"/>
    </w:rPr>
  </w:style>
  <w:style w:type="paragraph" w:customStyle="1" w:styleId="Caption1">
    <w:name w:val="Caption1"/>
    <w:pPr>
      <w:spacing w:after="120" w:line="240" w:lineRule="auto"/>
      <w:jc w:val="both"/>
    </w:pPr>
  </w:style>
  <w:style w:type="paragraph" w:customStyle="1" w:styleId="Caption2">
    <w:name w:val="Caption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01461">
      <w:bodyDiv w:val="1"/>
      <w:marLeft w:val="0"/>
      <w:marRight w:val="0"/>
      <w:marTop w:val="0"/>
      <w:marBottom w:val="0"/>
      <w:divBdr>
        <w:top w:val="none" w:sz="0" w:space="0" w:color="auto"/>
        <w:left w:val="none" w:sz="0" w:space="0" w:color="auto"/>
        <w:bottom w:val="none" w:sz="0" w:space="0" w:color="auto"/>
        <w:right w:val="none" w:sz="0" w:space="0" w:color="auto"/>
      </w:divBdr>
    </w:div>
    <w:div w:id="268053837">
      <w:bodyDiv w:val="1"/>
      <w:marLeft w:val="0"/>
      <w:marRight w:val="0"/>
      <w:marTop w:val="0"/>
      <w:marBottom w:val="0"/>
      <w:divBdr>
        <w:top w:val="none" w:sz="0" w:space="0" w:color="auto"/>
        <w:left w:val="none" w:sz="0" w:space="0" w:color="auto"/>
        <w:bottom w:val="none" w:sz="0" w:space="0" w:color="auto"/>
        <w:right w:val="none" w:sz="0" w:space="0" w:color="auto"/>
      </w:divBdr>
    </w:div>
    <w:div w:id="442963127">
      <w:bodyDiv w:val="1"/>
      <w:marLeft w:val="0"/>
      <w:marRight w:val="0"/>
      <w:marTop w:val="0"/>
      <w:marBottom w:val="0"/>
      <w:divBdr>
        <w:top w:val="none" w:sz="0" w:space="0" w:color="auto"/>
        <w:left w:val="none" w:sz="0" w:space="0" w:color="auto"/>
        <w:bottom w:val="none" w:sz="0" w:space="0" w:color="auto"/>
        <w:right w:val="none" w:sz="0" w:space="0" w:color="auto"/>
      </w:divBdr>
    </w:div>
    <w:div w:id="1006253030">
      <w:bodyDiv w:val="1"/>
      <w:marLeft w:val="0"/>
      <w:marRight w:val="0"/>
      <w:marTop w:val="0"/>
      <w:marBottom w:val="0"/>
      <w:divBdr>
        <w:top w:val="none" w:sz="0" w:space="0" w:color="auto"/>
        <w:left w:val="none" w:sz="0" w:space="0" w:color="auto"/>
        <w:bottom w:val="none" w:sz="0" w:space="0" w:color="auto"/>
        <w:right w:val="none" w:sz="0" w:space="0" w:color="auto"/>
      </w:divBdr>
    </w:div>
    <w:div w:id="1304504481">
      <w:bodyDiv w:val="1"/>
      <w:marLeft w:val="0"/>
      <w:marRight w:val="0"/>
      <w:marTop w:val="0"/>
      <w:marBottom w:val="0"/>
      <w:divBdr>
        <w:top w:val="none" w:sz="0" w:space="0" w:color="auto"/>
        <w:left w:val="none" w:sz="0" w:space="0" w:color="auto"/>
        <w:bottom w:val="none" w:sz="0" w:space="0" w:color="auto"/>
        <w:right w:val="none" w:sz="0" w:space="0" w:color="auto"/>
      </w:divBdr>
    </w:div>
    <w:div w:id="1506747161">
      <w:bodyDiv w:val="1"/>
      <w:marLeft w:val="0"/>
      <w:marRight w:val="0"/>
      <w:marTop w:val="0"/>
      <w:marBottom w:val="0"/>
      <w:divBdr>
        <w:top w:val="none" w:sz="0" w:space="0" w:color="auto"/>
        <w:left w:val="none" w:sz="0" w:space="0" w:color="auto"/>
        <w:bottom w:val="none" w:sz="0" w:space="0" w:color="auto"/>
        <w:right w:val="none" w:sz="0" w:space="0" w:color="auto"/>
      </w:divBdr>
    </w:div>
    <w:div w:id="1993290847">
      <w:bodyDiv w:val="1"/>
      <w:marLeft w:val="0"/>
      <w:marRight w:val="0"/>
      <w:marTop w:val="0"/>
      <w:marBottom w:val="0"/>
      <w:divBdr>
        <w:top w:val="none" w:sz="0" w:space="0" w:color="auto"/>
        <w:left w:val="none" w:sz="0" w:space="0" w:color="auto"/>
        <w:bottom w:val="none" w:sz="0" w:space="0" w:color="auto"/>
        <w:right w:val="none" w:sz="0" w:space="0" w:color="auto"/>
      </w:divBdr>
    </w:div>
    <w:div w:id="2045402212">
      <w:bodyDiv w:val="1"/>
      <w:marLeft w:val="0"/>
      <w:marRight w:val="0"/>
      <w:marTop w:val="0"/>
      <w:marBottom w:val="0"/>
      <w:divBdr>
        <w:top w:val="none" w:sz="0" w:space="0" w:color="auto"/>
        <w:left w:val="none" w:sz="0" w:space="0" w:color="auto"/>
        <w:bottom w:val="none" w:sz="0" w:space="0" w:color="auto"/>
        <w:right w:val="none" w:sz="0" w:space="0" w:color="auto"/>
      </w:divBdr>
    </w:div>
    <w:div w:id="2070882333">
      <w:bodyDiv w:val="1"/>
      <w:marLeft w:val="0"/>
      <w:marRight w:val="0"/>
      <w:marTop w:val="0"/>
      <w:marBottom w:val="0"/>
      <w:divBdr>
        <w:top w:val="none" w:sz="0" w:space="0" w:color="auto"/>
        <w:left w:val="none" w:sz="0" w:space="0" w:color="auto"/>
        <w:bottom w:val="none" w:sz="0" w:space="0" w:color="auto"/>
        <w:right w:val="none" w:sz="0" w:space="0" w:color="auto"/>
      </w:divBdr>
    </w:div>
    <w:div w:id="207889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12</Pages>
  <Words>3594</Words>
  <Characters>20487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64</cp:revision>
  <dcterms:created xsi:type="dcterms:W3CDTF">2026-08-29T10:18:00Z</dcterms:created>
  <dcterms:modified xsi:type="dcterms:W3CDTF">2026-10-23T11:41:00Z</dcterms:modified>
</cp:coreProperties>
</file>