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9CD80" w14:textId="77777777" w:rsidR="00AA7DDA" w:rsidRDefault="004B65D3" w:rsidP="00AA7DDA">
      <w:pPr>
        <w:keepNext/>
        <w:spacing w:line="240" w:lineRule="auto"/>
        <w:jc w:val="center"/>
        <w:rPr>
          <w:rFonts w:eastAsia="Times New Roman"/>
          <w:b/>
          <w:sz w:val="28"/>
        </w:rPr>
      </w:pPr>
      <w:r w:rsidRPr="00A77248">
        <w:rPr>
          <w:rFonts w:eastAsia="Times New Roman" w:cs="Times New Roman" w:ascii="Times New Roman" w:hAnsi="Times New Roman"/>
          <w:noProof/>
          <w:color w:val="000000"/>
          <w:sz w:val="24"/>
          <w:szCs w:val="24"/>
        </w:rPr>
        <w:drawing>
          <wp:inline distT="0" distB="0" distL="0" distR="0" wp14:anchorId="30EAFEB0" wp14:editId="42397417">
            <wp:extent cx="2445692" cy="2446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470537" cy="2470868"/>
                    </a:xfrm>
                    <a:prstGeom prst="rect">
                      <a:avLst/>
                    </a:prstGeom>
                  </pic:spPr>
                </pic:pic>
              </a:graphicData>
            </a:graphic>
          </wp:inline>
        </w:drawing>
      </w:r>
    </w:p>
    <w:p w14:paraId="66023CB2" w14:textId="2876C895" w:rsidR="0004794A" w:rsidRPr="00AA7DDA" w:rsidRDefault="00000000" w:rsidP="00AA7DDA">
      <w:pPr>
        <w:pStyle w:val="Heading1"/>
        <w:keepNext/>
        <w:spacing w:before="0" w:after="320" w:line="360" w:lineRule="auto"/>
        <w:rPr>
          <w:rFonts w:cs="Times New Roman" w:ascii="Times New Roman" w:hAnsi="Times New Roman" w:eastAsia="Times New Roman"/>
          <w:b w:val="1"/>
          <w:bCs w:val="1"/>
          <w:color w:val="000000"/>
          <w:sz w:val="24"/>
          <w:szCs w:val="24"/>
          <w:u w:val="none"/>
        </w:rPr>
      </w:pPr>
      <w:r>
        <w:rPr>
          <w:rFonts w:eastAsia="Times New Roman" w:ascii="Times New Roman" w:hAnsi="Times New Roman" w:cs="Times New Roman"/>
          <w:b w:val="1"/>
          <w:bCs w:val="1"/>
          <w:color w:val="000000"/>
          <w:sz w:val="24"/>
          <w:szCs w:val="24"/>
          <w:u w:val="none"/>
        </w:rPr>
        <w:t>CHAPTER 2: LITERATURE REVIEW</w:t>
      </w:r>
    </w:p>
    <w:p w14:paraId="7EDF5F2A" w14:textId="77777777" w:rsidR="0004794A" w:rsidRDefault="00000000" w:rsidP="00AA7DDA">
      <w:pPr>
        <w:spacing w:line="360" w:lineRule="auto" w:after="320" w:before="0"/>
        <w:jc w:val="both"/>
      </w:pPr>
      <w:r>
        <w:rPr>
          <w:rFonts w:eastAsia="Times New Roman" w:ascii="Times New Roman" w:hAnsi="Times New Roman" w:cs="Times New Roman"/>
          <w:color w:val="000000"/>
          <w:sz w:val="24"/>
          <w:szCs w:val="24"/>
        </w:rPr>
        <w:t>Prominance Fungurayi: R251946T</w:t>
      </w:r>
    </w:p>
    <w:p w14:paraId="3BF3A267" w14:textId="77777777" w:rsidR="00AA7DDA" w:rsidRDefault="00000000" w:rsidP="00AA7DDA">
      <w:pPr>
        <w:spacing w:line="360" w:lineRule="auto" w:after="320" w:before="0"/>
        <w:jc w:val="both"/>
        <w:rPr>
          <w:rFonts w:eastAsia="Times New Roman"/>
        </w:rPr>
      </w:pPr>
      <w:r>
        <w:rPr>
          <w:rFonts w:eastAsia="Times New Roman" w:ascii="Times New Roman" w:hAnsi="Times New Roman" w:cs="Times New Roman"/>
          <w:color w:val="000000"/>
          <w:sz w:val="24"/>
          <w:szCs w:val="24"/>
        </w:rPr>
        <w:t xml:space="preserve">Ashton </w:t>
      </w:r>
      <w:proofErr w:type="spellStart"/>
      <w:r>
        <w:rPr>
          <w:rFonts w:eastAsia="Times New Roman" w:ascii="Times New Roman" w:hAnsi="Times New Roman" w:cs="Times New Roman"/>
          <w:color w:val="000000"/>
          <w:sz w:val="24"/>
          <w:szCs w:val="24"/>
        </w:rPr>
        <w:t>Kahlari</w:t>
      </w:r>
      <w:proofErr w:type="spellEnd"/>
      <w:r>
        <w:rPr>
          <w:rFonts w:eastAsia="Times New Roman" w:ascii="Times New Roman" w:hAnsi="Times New Roman" w:cs="Times New Roman"/>
          <w:color w:val="000000"/>
          <w:sz w:val="24"/>
          <w:szCs w:val="24"/>
        </w:rPr>
        <w:t>: R252989W</w:t>
      </w:r>
    </w:p>
    <w:p w14:paraId="75820A60" w14:textId="77777777" w:rsidR="00AA7DDA" w:rsidRDefault="00AA7DDA" w:rsidP="00AA7DDA">
      <w:pPr>
        <w:rPr>
          <w:rFonts w:eastAsia="Times New Roman"/>
        </w:rPr>
      </w:pPr>
    </w:p>
    <w:p w14:paraId="3B622DC8" w14:textId="77777777" w:rsidR="00AA7DDA" w:rsidRDefault="00AA7DDA" w:rsidP="00AA7DDA">
      <w:pPr>
        <w:rPr>
          <w:rFonts w:eastAsia="Times New Roman"/>
        </w:rPr>
      </w:pPr>
    </w:p>
    <w:p w14:paraId="7FBBC040" w14:textId="77777777" w:rsidR="00AA7DDA" w:rsidRDefault="00AA7DDA" w:rsidP="00AA7DDA">
      <w:pPr>
        <w:rPr>
          <w:rFonts w:eastAsia="Times New Roman"/>
        </w:rPr>
      </w:pPr>
    </w:p>
    <w:p w14:paraId="7279BF3C" w14:textId="77777777" w:rsidR="00AA7DDA" w:rsidRDefault="00AA7DDA" w:rsidP="00AA7DDA">
      <w:pPr>
        <w:rPr>
          <w:rFonts w:eastAsia="Times New Roman"/>
        </w:rPr>
      </w:pPr>
    </w:p>
    <w:p w14:paraId="7838C743" w14:textId="77777777" w:rsidR="00AA7DDA" w:rsidRDefault="00AA7DDA" w:rsidP="00AA7DDA">
      <w:pPr>
        <w:rPr>
          <w:rFonts w:eastAsia="Times New Roman"/>
        </w:rPr>
      </w:pPr>
    </w:p>
    <w:p w14:paraId="247EBE36" w14:textId="77777777" w:rsidR="00AA7DDA" w:rsidRDefault="00AA7DDA" w:rsidP="00AA7DDA">
      <w:pPr>
        <w:rPr>
          <w:rFonts w:eastAsia="Times New Roman"/>
        </w:rPr>
      </w:pPr>
    </w:p>
    <w:p w14:paraId="05A2DF36" w14:textId="77777777" w:rsidR="00AA7DDA" w:rsidRDefault="00AA7DDA" w:rsidP="00AA7DDA">
      <w:pPr>
        <w:rPr>
          <w:rFonts w:eastAsia="Times New Roman"/>
        </w:rPr>
      </w:pPr>
    </w:p>
    <w:p w14:paraId="13B1A6FD" w14:textId="77777777" w:rsidR="00AA7DDA" w:rsidRDefault="00AA7DDA" w:rsidP="00AA7DDA">
      <w:pPr>
        <w:rPr>
          <w:rFonts w:eastAsia="Times New Roman"/>
        </w:rPr>
      </w:pPr>
    </w:p>
    <w:p w14:paraId="7A8507B9" w14:textId="77777777" w:rsidR="00AA7DDA" w:rsidRDefault="00AA7DDA" w:rsidP="00AA7DDA">
      <w:pPr>
        <w:rPr>
          <w:rFonts w:eastAsia="Times New Roman"/>
        </w:rPr>
      </w:pPr>
    </w:p>
    <w:p w14:paraId="27CA0CFF" w14:textId="77777777" w:rsidR="00AA7DDA" w:rsidRDefault="00AA7DDA" w:rsidP="00AA7DDA">
      <w:pPr>
        <w:rPr>
          <w:rFonts w:eastAsia="Times New Roman"/>
        </w:rPr>
      </w:pPr>
    </w:p>
    <w:p w14:paraId="6BC80A4B" w14:textId="77777777" w:rsidR="00AA7DDA" w:rsidRDefault="00AA7DDA" w:rsidP="00AA7DDA">
      <w:pPr>
        <w:rPr>
          <w:rFonts w:eastAsia="Times New Roman"/>
        </w:rPr>
      </w:pPr>
    </w:p>
    <w:p w14:paraId="50947A26" w14:textId="77777777" w:rsidR="00AA7DDA" w:rsidRDefault="00AA7DDA" w:rsidP="00AA7DDA">
      <w:pPr>
        <w:rPr>
          <w:rFonts w:eastAsia="Times New Roman"/>
        </w:rPr>
      </w:pPr>
    </w:p>
    <w:p w14:paraId="1A6ED183" w14:textId="77777777" w:rsidR="00AA7DDA" w:rsidRDefault="00AA7DDA" w:rsidP="00AA7DDA">
      <w:pPr>
        <w:rPr>
          <w:rFonts w:eastAsia="Times New Roman"/>
        </w:rPr>
      </w:pPr>
    </w:p>
    <w:p w14:paraId="451CBC6E" w14:textId="77777777" w:rsidR="00AA7DDA" w:rsidRDefault="00AA7DDA" w:rsidP="00AA7DDA">
      <w:pPr>
        <w:rPr>
          <w:rFonts w:eastAsia="Times New Roman"/>
        </w:rPr>
      </w:pPr>
    </w:p>
    <w:p w14:paraId="4161CB3D" w14:textId="77777777" w:rsidR="00AA7DDA" w:rsidRDefault="00AA7DDA" w:rsidP="00AA7DDA">
      <w:pPr>
        <w:rPr>
          <w:rFonts w:eastAsia="Times New Roman"/>
        </w:rPr>
      </w:pPr>
    </w:p>
    <w:p w14:paraId="004D514C" w14:textId="77777777" w:rsidR="00AA7DDA" w:rsidRPr="00AA7DDA" w:rsidRDefault="00AA7DDA" w:rsidP="00AA7DDA">
      <w:pPr>
        <w:pStyle w:val="Heading1"/>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lastRenderedPageBreak/>
        <w:t>CHAPTER 2: LITERATURE REVIEW</w:t>
      </w:r>
    </w:p>
    <w:p w14:paraId="3134922C" w14:textId="77777777" w:rsidR="00AA7DDA" w:rsidRPr="00AA7DDA" w:rsidRDefault="00AA7DDA" w:rsidP="00AA7DDA">
      <w:pPr>
        <w:pStyle w:val="Heading2"/>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2.1 Introduction</w:t>
      </w:r>
    </w:p>
    <w:p w14:paraId="49293D81" w14:textId="5411DF64" w:rsidR="00AA7DDA" w:rsidRDefault="009E3F43"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This chapter reviewed literature on mobile-money AML monitoring and computational methods for identifying suspicious financial behaviour. It used a funnel approach, beginning with international research and then considering African and Zimbabwean evidence. The thematic analysis examined structuring, wallet-network relationships, agent activity, rules, machine learning, temporal validity, synthetic data and human investigation. Each area was considered in relation to the requirements of the implemented system and the limitations of the cited work. The review treated machine-learning classification as support for prioritising investigation, rather than a determination that money laundering had occurred. The chapter then identified research gaps, explained the proposed response and assessed technical, economic, social and operational feasibility.</w:t>
      </w:r>
    </w:p>
    <w:p w14:paraId="1E06930A" w14:textId="77777777" w:rsidR="00AA7DDA" w:rsidRPr="00AA7DDA" w:rsidRDefault="00AA7DDA" w:rsidP="00AA7DDA">
      <w:pPr>
        <w:pStyle w:val="Heading2"/>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 Analysis of Related Work</w:t>
      </w:r>
    </w:p>
    <w:p w14:paraId="7D43AEB6"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2.2.1 Mobile Money and the Digital Financial Environment</w:t>
      </w:r>
    </w:p>
    <w:p w14:paraId="20B5017B" w14:textId="53D9EC31" w:rsidR="00AA7DDA" w:rsidRDefault="005A2DA3"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Mobile money is a vital part of digital financial services, especially in less developed economies. It allows users to store and send money via mobile wallets, and is frequently used in Cash-In, Cash-Out and Wallet-to-Wallet transfers. Agent networks provided a vital link between digital wallets and cash. GSMA reported a continued expansion of mobile money across the world, with Sub-Saharan Africa remaining central to the mobile-money ecosystem [1]. Mobile money has also been identified as an important enabler of financial inclusion by the World Bank, especially in areas where access to traditional financial institutions is restricted [7]. Mobile money has created benefits such as being accessible, convenient and increased participation in formal financial services. However, rapid transfers can also be exploited when safeguards are inadequate. Whisker and Lokanan looked at AML and counter-terrorist-financing threats arising from mobile money and noted opportunities for mobile-money transactions to be exploited if there are weaknesses in financial controls [8]. The Basel Institute on Governance also highlights the potential for mobile money to be subject to financial crimes, and the value of transaction logs to investigators [9]. There is an important balance to be struck because mobile money must be accessible enough to enable financial inclusion, but also have monitoring features that can detect potentially suspicious activity. The review therefore considered mobile-money characteristics explicitly instead of assuming that conventional banking controls transferred unchanged. The characteristics experienced by mobile-money users, such as digital wallets, networks of agents, and multiple wallets having multiple transactions and relationships, can be important sources of behavioural information for mobile-money environments.</w:t>
      </w:r>
    </w:p>
    <w:p w14:paraId="731DF6B1"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2.2.2 Money-Laundering Risk in Mobile-Money Environments</w:t>
      </w:r>
    </w:p>
    <w:p w14:paraId="27AA2722" w14:textId="0A3A8D8D" w:rsidR="00AA7DDA" w:rsidRDefault="00677E3A"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Money laundering concerns the concealment of the illicit origin or ownership of funds. The ability to carry out a chain of transactions, accounts or relationships to move value in digital financial systems can make it more difficult to recognise the activity when each is looked at in isolation. Whisker and Lokanan [8] analyzed the characteristics of mobile-money usage in terms of AML and counter-terrorist-financing risks, and considered mobile money as one of the financial channels that could be vulnerable to exploitation in financial systems. Their work is especially relevant here, since it targets mobile money and not the risk and controls that exist in traditional banking systems being simply projected into mobile-wallet systems. INTERPOL's Mobile Money and Organised Crime Analysis in Africa also highlighted the use of mobile-money to support various organised criminal activities, including money laundering [10]. The report highlighted the benefits and opportunities for criminal exploitation of the fast expansion of mobile-money infrastructure in Africa, which has occurred where there are gaps in regulation and identification systems. These studies supported examining transaction behaviour at several levels. However, the identification of a pattern of behaviour does not amount to a finding of money laundering. Customers can execute unusual transactions that are legitimate, and high transaction frequencies or business relationships can be legitimate reasons. A suspicious-pattern result therefore indicated a need for investigation rather than a finding of criminal conduct.</w:t>
      </w:r>
    </w:p>
    <w:p w14:paraId="18C6647B"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lastRenderedPageBreak/>
        <w:t>2.2.3 Structuring Behaviour</w:t>
      </w:r>
    </w:p>
    <w:p w14:paraId="3B1151B4" w14:textId="74926B30" w:rsidR="005922A5" w:rsidRDefault="0064692B"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AML monitoring has relevance due to structuring: The movement of large value can be split into multiple smaller transactions instead of being carried out as a single transaction. The relationship between several smaller transactions can then not be detected by monitoring the individual transactions. History is essential for a useful structuring-detection mechanism. Additional information can be obtained from the transaction frequency, repeated transaction values, cumulative transaction value, transaction timing and similarities among amounts of the transactions other than the current transaction value. The relationship across transactions was relevant in addition to whether an individual value crossed a threshold. Known patterns might be identified using conventional threshold-based monitoring, although fixed rules may be limiting. The legitimate customers could make transactions close to a threshold value repeatedly, whereas the suspicious value could be done through repeated transactions of varying amounts, to avoid the obvious repetition. Therefore, behavioural traits must be looked at as a whole. An increasing number of studies on machine-learning for AML have used historical transaction data. Jensen and Iosifidis [3] introduce the application of statistical and machine-learning techniques for AML and discuss the problems such as limited labeled data, class imbalance, and operational problems for suspicious-activity detection. The type of research is supportive of going beyond the “transaction” level of analysis to richer representations of behaviour. The study represents structuring through several causal features while retaining the frozen model’s decision threshold and independent application rules. This enables transaction frequency, historical values and repeated amounts and amount distributions to work together to drive classification.</w:t>
      </w:r>
    </w:p>
    <w:p w14:paraId="76C99135"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2.2.4 Wallet and Transaction-Network Behaviour</w:t>
      </w:r>
    </w:p>
    <w:p w14:paraId="7895BC80" w14:textId="52B958D8" w:rsidR="005922A5" w:rsidRDefault="00D3185C"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Financial networks arise naturally from transfers: wallets represent entities and transactions represent relationships. A wallet receiving value from several counterparties, distributing value to several recipients, repeatedly exchanging value with another wallet or rapidly forwarding funds can reveal relationships that an isolated amount does not show. Such patterns may also occur in legitimate activity, so they require context. Ndlovu et al. examined graph-based machine learning for identifying money-laundering networks associated with sanctioned entities in a Zimbabwean bank [11]. Their work establishes a relevant local example of relationship-oriented AML research, but its banking population and sanctions context differ from this study’s synthetic mobile-money environment. It cannot validate the V4 classifier or establish that one modelling approach is universally superior. The present application uses a tabular XGBoost pipeline rather than a graph neural network. Network-related information is represented through causal fields concerning counterparties, concentration and the movement of value. This preserves the importance of relationships while remaining consistent with the frozen feature contract and available development environment. The common methodological requirement is to evaluate the representation, labels and partitioning explicitly rather than assume that a network-shaped pattern establishes criminal activity.</w:t>
      </w:r>
    </w:p>
    <w:p w14:paraId="1585BDB9"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2.2.5 Mobile-Money Agent Behaviour</w:t>
      </w:r>
    </w:p>
    <w:p w14:paraId="3A9E966A" w14:textId="578BC4A7" w:rsidR="005922A5" w:rsidRDefault="00B607C6"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Agents distinguish mobile-money services from direct account-to-account payment systems because they mediate Cash-In and Cash-Out. Relevant evidence includes transaction counts and values, the number of wallets served, repeated wallet relationships, concentration and changes over time. High volume alone is insufficient: legitimate agent activity can vary by location and customer demand. INTERPOL discusses vulnerabilities in the African mobile-money ecosystem [10]. Chitimira and Torerai examine the relationship between mobile-money regulation, technological innovation and financial inclusion in Zimbabwe [12], while their later policy analysis considers regulatory approaches after the COVID-19 pandemic [13]. These policy studies support the need to balance financial integrity with access; they do not validate particular V4 agent features or detection rates. In this study, agent-related features provide historical context within a wider classifier. Their interpretation must take account of ordinary service activity and the limits of the synthetic research population.</w:t>
      </w:r>
    </w:p>
    <w:p w14:paraId="43691DB0"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2.2.6 Conventional AML Monitoring and Rule-Based Approaches</w:t>
      </w:r>
    </w:p>
    <w:p w14:paraId="3B4FF58D" w14:textId="669A72AB" w:rsidR="005922A5" w:rsidRDefault="00771F9B"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Typically, “rules” that are “known risk indicators” and “thresholds” are used in traditional transaction-monitoring systems. There are a number of benefits to rules. Rules can express a known compliance indicator and provide an identifiable reason for an alert. Fixed rules also have limitations. A small set of thresholds might fail to represent complex and suspicious (or unexpected) behaviour. Rules can also generate excessive alerts because when legitimate activity meets certain conditions, it is considered an alert. The Financial Action Task Force (FATF) has thus taken into account the opportunities presented by new technologies for AML/CFT – and accepts that advanced analytics and related technologies have the potential to enhance AML activities efficiency and effectiveness [4] [14]. Technologies cannot take the place of proper governance and human judgment - they can enhance the processing and prioritisation of information. This strengthens a mixed conceptual approach where the compliance mechanism has an interpretable part and a behavioural analysis part. In the current study, however, machine-learning experimentation was evaluated separately with the machine's frozen behavioural-features architecture. Application-level rule outputs are not used as ground-truth training labels for the frozen machine-learning model. Independent AML rules remain enabled during application use. Using labels derived directly from the same rule outputs included as predictive inputs would create target leakage. Apparent accuracy could then reflect reproduction of the labelling mechanism instead of independent behavioural discrimination.</w:t>
      </w:r>
    </w:p>
    <w:p w14:paraId="1C36E085"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2.2.7 Machine Learning for AML Detection</w:t>
      </w:r>
    </w:p>
    <w:p w14:paraId="65940C05" w14:textId="0E7C6CB4" w:rsidR="005922A5" w:rsidRDefault="001E4595"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increasing use of machine learning in AML research is due to its capacity to correlate sets of variables and identify patterns that might not be able to be described in a set of rules. AML machine learning methods can be supervised classification, unsupervised anomaly detection, and graph-based methods. Supervised learning is a technique that is used to learn a mapping between the input features and the known classes from labelled examples. Unsupervised methods try to detect "unusual" observations without having to have all the labels. Graph-based methods represent relationships between the entities of transactions. Jensen and Iosifidis [3] explored the application of statistics and machine learning to AML and explored some of the key practical problems there are with financial-crime detection. These involve the problem of having a highly imbalanced data set and the difficulty of obtaining access to the proper labeled data sets. Jullum et al. developed a machine-learning approach to prioritising financial transactions for manual investigation [6]. The study illustrates an important lesson for this project – the role of machine learning in AML was to support prioritisation for investigation. Tertychnyi et al. [15] have proposed a time-aware and interpretable AML predictive-monitoring method. They are relevant since financial transaction behaviour evolves over time and thus the ordering and timing of the information to be used for prediction are relevant. In these studies, it has been shown that model selection is not enough to achieve a reliable AML system. The usefulness of a model is influenced by feature design, the methodology used for the evaluation, the order of the features in the model, the class imbalance, and explainability and the relationship between the prediction and the human investigation. In the present study, the conventional supervised algorithms were compared instead of considering that there is a need for only the most complicated model to be used. The controlled V4 comparison evaluated Logistic Regression, Random Forest, HistGradientBoosting and XGBoost. XGBoost was selected under the predeclared validation and tie-breaking procedure and retained as the sole primary model with its threshold fixed at 0.50. This selection was a documented synthetic development trade-off rather than a claim of universal superiority.</w:t>
      </w:r>
    </w:p>
    <w:p w14:paraId="5CAD96EA"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2.2.8 Temporal Behaviour and Data Leakage</w:t>
      </w:r>
    </w:p>
    <w:p w14:paraId="7658FA87" w14:textId="4EC6BA1F" w:rsidR="005922A5" w:rsidRDefault="002472DF"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Financial transactions occur in a sequence, so predictive features must respect the information available at the transaction being assessed. Temporal leakage occurs when preprocessing, historical aggregation or evaluation uses later information that would not have been available at that point. Such leakage can make validation results appear stronger than the actual prospective behaviour. Time-aware AML monitoring research emphasised the relevance of timing and historical context [15]. The study applied the frozen causal feature contract, distinguishing the current transaction?s attributes from its historical baselines. Timestamp and deterministic transaction ordering established the information boundary. Authorised post-commit verification attested the canonical source revision before feature construction and inference. A concurrent revision change required a closed failure or a safely bounded repetition of nonfinancial verification and inference. The payment itself was not replayed. These controls addressed the relationship between model evaluation and the conditions under which the application produced a decision.</w:t>
      </w:r>
    </w:p>
    <w:p w14:paraId="0ADDF043"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2.2.9 Synthetic Data for AML Research</w:t>
      </w:r>
    </w:p>
    <w:p w14:paraId="05988FD0" w14:textId="7AADFF13" w:rsidR="005922A5" w:rsidRDefault="00D229FD"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availability of suitable labelled AML datasets was a major methodological challenge. True financial transaction records include customer data that is sensitive and validated money-laundering labels are hard to come by and can be incomplete. Altman et al. created realistic synthetic data sets of financial transactions to base AML model research on [16]. They state that one of the major problems for machine-learning research in AML is the lack of readily available real transaction data and demonstrate how to generate synthetic data that can be used to create AML datasets of controlled data with known ground-truth labels. Synthetic data have some benefits when it comes to research. Types of scenarios can be controlled, ground-truth labels can be known, dataset can be reproduced and experiments can be conducted without exposing real customer financial records. But there are also some drawbacks of synthetic data. A synthetic generator is based on assumptions for the behaviours of the normal and suspicious activity. A model can, therefore, extract features from the generator instead of all the complexities in a real financial environment. Results using synthetic data should not be used to support the claim that similar results would be obtained using live transaction data. However, the present study considers synthetic data as a controlled research instrument and not as an alternative to future experiments using real-world data. The controlled development labels cover normal activity and suspicious-pattern families relating to structuring, wallet-network behaviour and agent behaviour. The frozen development partitions are distinct from later application demonstrations.</w:t>
      </w:r>
    </w:p>
    <w:p>
      <w:pPr>
        <w:spacing w:line="360" w:lineRule="auto" w:after="320" w:before="0"/>
        <w:jc w:val="both"/>
      </w:pPr>
      <w:r>
        <w:rPr>
          <w:rFonts w:ascii="Times New Roman" w:hAnsi="Times New Roman" w:eastAsia="Times New Roman" w:cs="Times New Roman"/>
          <w:color w:val="000000"/>
          <w:sz w:val="24"/>
          <w:szCs w:val="24"/>
        </w:rPr>
        <w:t>For application generation, the mixed plan targets 70% routine and 30% suspicious-scenario inputs. These inputs describe the selected scenarios, not model accuracy, a guaranteed V4 prediction ratio or the proportion flagged by independent rules. A suspicious scenario can fall below the frozen threshold, and a routine scenario can activate a rule. Immediate large batches may trigger velocity indicators because their real timestamps remain close together. Evaluation should report input composition, V4 predictions, rule alerts and their overlap separately.</w:t>
      </w:r>
    </w:p>
    <w:p w14:paraId="30552372"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2.2.10 Class Imbalance and AML Evaluation</w:t>
      </w:r>
    </w:p>
    <w:p w14:paraId="34094017" w14:textId="75E675FB" w:rsidR="005922A5" w:rsidRDefault="00863630"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Class imbalance is a central AML evaluation problem because the class of interest may be much smaller than the remaining transaction population. A classifier can achieve high overall accuracy while missing many suspicious-pattern examples. Jensen and Iosifidis discuss the practical challenges of statistics and machine learning for money laundering, including the availability and distribution of labels [3]. Jullum et al. examine transaction prioritisation for manual investigation using machine learning [6]. These studies motivate examining both missed suspicious activity and the burden of unnecessary alerts. The present evaluation reports suspicious precision, recall and F1-score, macro F1, balanced accuracy, ROC-AUC, average precision and the confusion matrix. Family-specific support and recall are also needed: strong aggregate results may conceal weak detection of sparse patterns. Metrics from the controlled synthetic Validation population must not be transferred to an operational prevalence or treated as evidence that every application alert is correct.</w:t>
      </w:r>
    </w:p>
    <w:p w14:paraId="6595E241"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2.2.11 Explainability and Human Investigation</w:t>
      </w:r>
    </w:p>
    <w:p w14:paraId="1936266D" w14:textId="1FE01799" w:rsidR="00AA7DDA" w:rsidRDefault="005F2DB5" w:rsidP="005F2DB5">
      <w:pPr>
        <w:spacing w:line="360" w:lineRule="auto" w:after="320" w:before="0"/>
        <w:jc w:val="both"/>
        <w:rPr>
          <w:rFonts w:eastAsia="Times New Roman"/>
          <w:lang w:val="en-ZW"/>
        </w:rPr>
      </w:pPr>
      <w:r>
        <w:rPr>
          <w:rFonts w:ascii="Times New Roman" w:hAnsi="Times New Roman" w:eastAsia="Times New Roman" w:cs="Times New Roman"/>
          <w:color w:val="000000"/>
          <w:sz w:val="24"/>
          <w:szCs w:val="24"/>
        </w:rPr>
        <w:t>The outcome of AML decisions can impact customers and institutions. Thus, the information produced by a useful monitoring system shall be information that could be used to support human investigation, but not an inexplicable prediction as a conclusion. Investigators need to provide contextual data like transaction history, wallets involved, model probability, behaviour and related alerts to prioritise transactions by machine-learning models. This is especially crucial because there could be a legitimate reason for the pattern that is suspicious. FATF's work on technological transformation in AML/CFT acknowledges the potential of technologies like advanced analytics, artificial intelligence, and machine learning, as well as the need for and importance of proper governance and operational usage [4], [14]. Machine-learning AML transaction prioritisation research also shows that models can be developed to support the manual investigation process [6]. This is in line with the current system that presents the classification of the model as an output for decision support and offers facilities for suspicious activity review for authorised users, who are responsible for compliance.</w:t>
      </w:r>
    </w:p>
    <w:p>
      <w:pPr>
        <w:spacing w:line="360" w:lineRule="auto" w:after="320" w:before="0"/>
        <w:jc w:val="both"/>
      </w:pPr>
      <w:r>
        <w:rPr>
          <w:rFonts w:ascii="Times New Roman" w:hAnsi="Times New Roman" w:eastAsia="Times New Roman" w:cs="Times New Roman"/>
          <w:color w:val="000000"/>
          <w:sz w:val="24"/>
          <w:szCs w:val="24"/>
        </w:rPr>
        <w:t>The interface consequently separates the recorded V4 decision and probability from named rule findings. Historical context can help an investigator understand the payment, but is not automatically a model feature attribution. A missing or failed model result must remain explicit; a technical failure cannot be converted into a normal prediction or silently replaced with Stage14 inference.</w:t>
      </w:r>
    </w:p>
    <w:p w14:paraId="4D6CEC94"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2.2.12 Real-Time AML Monitoring</w:t>
      </w:r>
    </w:p>
    <w:p w14:paraId="33DF14BA" w14:textId="466B1CCE" w:rsidR="005922A5" w:rsidRDefault="00B56B82" w:rsidP="00AA7DDA">
      <w:pPr>
        <w:spacing w:line="360" w:lineRule="auto" w:after="320" w:before="0"/>
        <w:jc w:val="both"/>
        <w:rPr>
          <w:rFonts w:eastAsia="Times New Roman"/>
        </w:rPr>
      </w:pPr>
      <w:r w:rsidRPr="00B56B82">
        <w:rPr>
          <w:rFonts w:eastAsia="Times New Roman" w:ascii="Times New Roman" w:hAnsi="Times New Roman" w:cs="Times New Roman"/>
          <w:color w:val="000000"/>
          <w:sz w:val="24"/>
          <w:szCs w:val="24"/>
        </w:rPr>
        <w:t xml:space="preserve">Transaction monitoring is not only about detecting suspicious behaviour, but also the ability to provide the relevant information to the investigator in a timely manner. A suspicious activity identification system which does not link the identified suspicious activity to an investigation process offers minimal operational support. Real-time or near-real-time monitoring depends on the transaction processing, generation of features, inference on the models, and generation of alerts and updates of the user interface as an integral workflow. Research on time-aware </w:t>
      </w:r>
      <w:r w:rsidRPr="00B56B82">
        <w:rPr>
          <w:rFonts w:eastAsia="Times New Roman" w:ascii="Times New Roman" w:hAnsi="Times New Roman" w:cs="Times New Roman"/>
          <w:color w:val="000000"/>
          <w:sz w:val="24"/>
          <w:szCs w:val="24"/>
        </w:rPr>
        <w:lastRenderedPageBreak/>
        <w:t xml:space="preserve">predictive-monitoring shows the benefits of integration of analytical models and monitoring processes [15]. The present research includes this principle by incorporating transaction processing with historical </w:t>
      </w:r>
      <w:proofErr w:type="spellStart"/>
      <w:r w:rsidRPr="00B56B82">
        <w:rPr>
          <w:rFonts w:eastAsia="Times New Roman" w:ascii="Times New Roman" w:hAnsi="Times New Roman" w:cs="Times New Roman"/>
          <w:color w:val="000000"/>
          <w:sz w:val="24"/>
          <w:szCs w:val="24"/>
        </w:rPr>
        <w:t>behavioral</w:t>
      </w:r>
      <w:proofErr w:type="spellEnd"/>
      <w:r w:rsidRPr="00B56B82">
        <w:rPr>
          <w:rFonts w:eastAsia="Times New Roman" w:ascii="Times New Roman" w:hAnsi="Times New Roman" w:cs="Times New Roman"/>
          <w:color w:val="000000"/>
          <w:sz w:val="24"/>
          <w:szCs w:val="24"/>
        </w:rPr>
        <w:t xml:space="preserve"> feature extraction, machine-learning classification, alerts, investigations and real-time dashboarding. The classifier is then a part of a larger decision-support system, and not a stand-alone experimental model.</w:t>
      </w:r>
    </w:p>
    <w:p>
      <w:pPr>
        <w:spacing w:line="360" w:lineRule="auto" w:after="320" w:before="0"/>
        <w:jc w:val="both"/>
      </w:pPr>
      <w:r>
        <w:rPr>
          <w:rFonts w:ascii="Times New Roman" w:hAnsi="Times New Roman" w:eastAsia="Times New Roman" w:cs="Times New Roman"/>
          <w:color w:val="000000"/>
          <w:sz w:val="24"/>
          <w:szCs w:val="24"/>
        </w:rPr>
        <w:t>Real-time event delivery requires an explicit transport and authority boundary. Flask-SocketIO connects authenticated browser sessions to the application, while Redis supports publication between application instances. Socket.IO documentation illustrates Redis-backed event relay across servers [17]. MySQL remains the persistent source for transactions and messages; Redis publication does not establish that a recipient device received or read a message. Browser notification APIs depend on user permission and platform behaviour [18]. The implemented device notifications require an authenticated application tab to remain open. Cross-instance correctness and delivery latency require a controlled two-instance demonstration rather than an inference from one browser window.</w:t>
      </w:r>
    </w:p>
    <w:p>
      <w:pPr>
        <w:spacing w:line="360" w:lineRule="auto" w:after="320" w:before="0"/>
        <w:jc w:val="both"/>
      </w:pPr>
      <w:r>
        <w:rPr>
          <w:rFonts w:ascii="Times New Roman" w:hAnsi="Times New Roman" w:eastAsia="Times New Roman" w:cs="Times New Roman"/>
          <w:color w:val="000000"/>
          <w:sz w:val="24"/>
          <w:szCs w:val="24"/>
        </w:rPr>
        <w:t>Professional communication supports investigation by retaining conversations alongside participants’ account identities. Customers may contact other customers and compliance officers; direct customer–administrator communication is restricted. Compliance officers may communicate with customers and administrators. A sent receipt represents stored message content, delivery requires acknowledgement from an authenticated recipient browser, and read status requires the visible conversation to be opened. These states are distinct from transport publication and must be retained across page reloads. The literature on timely monitoring supports the need for an integrated workflow [15], while the particular conversation policy is an application design decision.</w:t>
      </w:r>
    </w:p>
    <w:p w14:paraId="42E9FD30"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2.2.13 African and Regional Perspective</w:t>
      </w:r>
    </w:p>
    <w:p w14:paraId="58B38012" w14:textId="5E46CD51" w:rsidR="005922A5" w:rsidRDefault="00286B99"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African context was relevant because mobile money formed an important part of the region?s financial-services environment. Mobile money has been instrumental in ensuring financial inclusion and has also posed challenges with regard to financial-crime monitoring. Organised criminal groups have been using mobile-money services in Africa for an array of crimes, such as fraud, money laundering, extortion, human trafficking, among others, according to INTERPOL [10]. It shows that AML issues with mobile money are not just a theoretical problem. Meanwhile, careful design of controls is necessary. Disproportionate restrictions may have a negative impact on users who rely on mobile money services for financial access. This means that there is a need to monitor risk and differentiate between normal activity and activity that needs to be investigated and not just because of a high number of transactions. The regional AML frameworks also apply to Zimbabwe. The Eastern and Southern Africa Anti-Money Laundering Group facilitates member jurisdictions' implementation of the international AML/CFT standards and reports on progress via mutual evaluations and follow-up [19]. Its Zimbabwe follow-up report provided a regional assessment of the country?s AML/CFT framework.</w:t>
      </w:r>
    </w:p>
    <w:p w14:paraId="5ED8204D"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2.2.14 Zimbabwean Context</w:t>
      </w:r>
    </w:p>
    <w:p w14:paraId="6A7145F7" w14:textId="1DDFA06E" w:rsidR="005922A5" w:rsidRDefault="00580BC8"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Mobile financial services have been extensively used in Zimbabwe, hence the importance of mobile-money regulation in regard to financial inclusion and financial-system integrity. Digital financial services are part of the financial-inclusion environment as set out in the Reserve Bank of Zimbabwe's National Financial Inclusion Strategy II [2]. Zimbabwe also has AML/CFT obligations and is also assessed as part of ESAAMLG [19]. The link between regulation of mobile money and innovative technology and financial inclusion has been studied in Zimbabwe specific academic literature. The risks to AML/CFT associated with financial products accessed via mobile technologies and the need to ensure financial integrity whilst promoting inclusion have been discussed in the literature [12]. Later, the focus has been on Zimbabwe, around the nature of regulatory action on the activities of mobile-money agents, and why some approaches are necessary to prevent financial crime but not to stifle access to financial services [13]. More recently, research has started in Zimbabwe on the use of graph-based machine learning to detect money-laundering networks in financial transactions [11]. That study concerns a bank and sanctioned entities rather than this mobile-wallet population; it shows there is increasing local academic interest in transaction relationship and machine learning as a tool to fight AML. The reviewed literature in Zimbabwe is thus relevant to the issues of mobile-money regulation and AML risk. Within the literature reviewed, less attention was given to an integrated mobile-money workflow combining these three behavioural dimensions with causal feature construction, separate rules, persistent investigation evidence and real-time communication. This was a gap in the reviewed material, rather than evidence that no comparable operational system existed. Commercial systems may not disclose their full implementation in the academic literature.</w:t>
      </w:r>
    </w:p>
    <w:p w14:paraId="314A5833" w14:textId="79451631" w:rsidR="00AA7DDA" w:rsidRPr="00AA7DDA" w:rsidRDefault="00AA7DDA" w:rsidP="00AA7DDA">
      <w:pPr>
        <w:pStyle w:val="Heading2"/>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2.3 Gaps Identified</w:t>
      </w:r>
    </w:p>
    <w:p w14:paraId="16352BEE" w14:textId="0ABCABC0" w:rsidR="005922A5" w:rsidRDefault="007F6A8A" w:rsidP="00AA7DDA">
      <w:pPr>
        <w:spacing w:line="360" w:lineRule="auto" w:after="320" w:before="0"/>
        <w:jc w:val="both"/>
        <w:rPr>
          <w:rFonts w:eastAsia="Times New Roman"/>
        </w:rPr>
      </w:pPr>
      <w:r w:rsidRPr="007F6A8A">
        <w:rPr>
          <w:rFonts w:eastAsia="Times New Roman" w:ascii="Times New Roman" w:hAnsi="Times New Roman" w:cs="Times New Roman"/>
          <w:color w:val="000000"/>
          <w:sz w:val="24"/>
          <w:szCs w:val="24"/>
        </w:rPr>
        <w:t>There has been significant advancement of mobile-money regulation and AML monitoring, and machine-learning-based financial-crime detection, illustrated in the literature. Some gaps were identified in regard to the scope of this research, however.</w:t>
      </w:r>
    </w:p>
    <w:p w14:paraId="370B6EB0" w14:textId="77777777" w:rsidR="00AA7DDA" w:rsidRPr="00AA7DDA" w:rsidRDefault="00AA7DDA" w:rsidP="00AA7DDA">
      <w:pPr>
        <w:pStyle w:val="Caption"/>
        <w:keepNext/>
        <w:spacing w:line="240" w:lineRule="auto" w:before="0" w:after="320"/>
        <w:jc w:val="center"/>
        <w:rPr>
          <w:rFonts w:eastAsia="Times New Roman"/>
          <w:lang w:val="en-ZW"/>
        </w:rPr>
      </w:pPr>
      <w:r w:rsidRPr="00AA7DDA">
        <w:rPr>
          <w:rFonts w:eastAsia="Times New Roman" w:ascii="Times New Roman" w:hAnsi="Times New Roman" w:cs="Times New Roman"/>
          <w:b/>
          <w:bCs/>
          <w:color w:val="000000"/>
          <w:sz w:val="24"/>
          <w:szCs w:val="24"/>
          <w:lang w:val="en-ZW"/>
        </w:rPr>
        <w:t>Table 2.1: Identified Research Gaps and Project Response</w:t>
      </w:r>
    </w:p>
    <w:tbl>
      <w:tblPr>
        <w:tblW w:w="0" w:type="auto"/>
        <w:tblBorders>
          <w:top w:val="nil"/>
          <w:left w:val="nil"/>
          <w:bottom w:val="nil"/>
          <w:right w:val="nil"/>
          <w:insideH w:val="nil"/>
          <w:insideV w:val="nil"/>
        </w:tblBorders>
        <w:tblLayout w:type="autofit"/>
        <w:tblCellMar>
          <w:top w:w="15" w:type="dxa"/>
          <w:left w:w="15" w:type="dxa"/>
          <w:bottom w:w="15" w:type="dxa"/>
          <w:right w:w="15" w:type="dxa"/>
        </w:tblCellMar>
        <w:tblLook w:val="04A0" w:firstRow="1" w:lastRow="0" w:firstColumn="1" w:lastColumn="0" w:noHBand="0" w:noVBand="1"/>
      </w:tblPr>
      <w:tblGrid>
        <w:gridCol w:w="2695"/>
        <w:gridCol w:w="3275"/>
        <w:gridCol w:w="3046"/>
      </w:tblGrid>
      <w:tr w:rsidR="00AA7DDA" w:rsidRPr="00AA7DDA" w14:paraId="4F8DFB98" w14:textId="77777777" w:rsidTr="005922A5">
        <w:trPr>
          <w:tblHeader/>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CA22D3A" w14:textId="77777777" w:rsidR="00AA7DDA" w:rsidRPr="00AA7DDA" w:rsidRDefault="00AA7DDA" w:rsidP="00AA7DDA">
            <w:pPr>
              <w:spacing w:line="360" w:lineRule="auto" w:after="320" w:before="0"/>
              <w:rPr>
                <w:rFonts w:eastAsia="Times New Roman"/>
                <w:b/>
                <w:bCs/>
                <w:lang w:val="en-ZW"/>
              </w:rPr>
            </w:pPr>
            <w:r>
              <w:rPr>
                <w:rFonts w:ascii="Times New Roman" w:hAnsi="Times New Roman" w:eastAsia="Times New Roman" w:cs="Times New Roman"/>
                <w:color w:val="000000"/>
                <w:sz w:val="24"/>
                <w:szCs w:val="24"/>
              </w:rPr>
              <w:t>Identified Gap</w:t>
            </w:r>
          </w:p>
        </w:tc>
        <w:tc>
          <w:tcPr>
            <w:tcW w:w="0" w:type="auto"/>
            <w:tcBorders>
              <w:top w:val="single" w:sz="4" w:space="0" w:color="000000"/>
              <w:left w:val="nil"/>
              <w:bottom w:val="single" w:sz="4" w:space="0" w:color="000000"/>
              <w:right w:val="single" w:sz="4" w:space="0" w:color="000000"/>
            </w:tcBorders>
            <w:vAlign w:val="center"/>
            <w:hideMark/>
          </w:tcPr>
          <w:p w14:paraId="04ADFB5E" w14:textId="77777777" w:rsidR="00AA7DDA" w:rsidRPr="00AA7DDA" w:rsidRDefault="00AA7DDA" w:rsidP="00AA7DDA">
            <w:pPr>
              <w:spacing w:line="360" w:lineRule="auto" w:after="320" w:before="0"/>
              <w:rPr>
                <w:rFonts w:eastAsia="Times New Roman"/>
                <w:b/>
                <w:bCs/>
                <w:lang w:val="en-ZW"/>
              </w:rPr>
            </w:pPr>
            <w:r>
              <w:rPr>
                <w:rFonts w:ascii="Times New Roman" w:hAnsi="Times New Roman" w:eastAsia="Times New Roman" w:cs="Times New Roman"/>
                <w:color w:val="000000"/>
                <w:sz w:val="24"/>
                <w:szCs w:val="24"/>
              </w:rPr>
              <w:t>Observation from Literature</w:t>
            </w:r>
          </w:p>
        </w:tc>
        <w:tc>
          <w:tcPr>
            <w:tcW w:w="0" w:type="auto"/>
            <w:tcBorders>
              <w:top w:val="single" w:sz="4" w:space="0" w:color="000000"/>
              <w:left w:val="nil"/>
              <w:bottom w:val="single" w:sz="4" w:space="0" w:color="000000"/>
              <w:right w:val="single" w:sz="4" w:space="0" w:color="000000"/>
            </w:tcBorders>
            <w:vAlign w:val="center"/>
            <w:hideMark/>
          </w:tcPr>
          <w:p w14:paraId="2190EAD7" w14:textId="77777777" w:rsidR="00AA7DDA" w:rsidRPr="00AA7DDA" w:rsidRDefault="00AA7DDA" w:rsidP="00AA7DDA">
            <w:pPr>
              <w:spacing w:line="360" w:lineRule="auto" w:after="320" w:before="0"/>
              <w:rPr>
                <w:rFonts w:eastAsia="Times New Roman"/>
                <w:b/>
                <w:bCs/>
                <w:lang w:val="en-ZW"/>
              </w:rPr>
            </w:pPr>
            <w:r>
              <w:rPr>
                <w:rFonts w:ascii="Times New Roman" w:hAnsi="Times New Roman" w:eastAsia="Times New Roman" w:cs="Times New Roman"/>
                <w:color w:val="000000"/>
                <w:sz w:val="24"/>
                <w:szCs w:val="24"/>
              </w:rPr>
              <w:t>Response in the Proposed Research</w:t>
            </w:r>
          </w:p>
        </w:tc>
      </w:tr>
      <w:tr w:rsidR="00AA7DDA" w:rsidRPr="00AA7DDA" w14:paraId="7A678A57"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14F9C69F"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Limited integration of mobile-money behavioural dimensions</w:t>
            </w:r>
          </w:p>
        </w:tc>
        <w:tc>
          <w:tcPr>
            <w:tcW w:w="0" w:type="auto"/>
            <w:tcBorders>
              <w:top w:val="nil"/>
              <w:left w:val="nil"/>
              <w:bottom w:val="single" w:sz="4" w:space="0" w:color="000000"/>
              <w:right w:val="single" w:sz="4" w:space="0" w:color="000000"/>
            </w:tcBorders>
            <w:vAlign w:val="center"/>
            <w:hideMark/>
          </w:tcPr>
          <w:p w14:paraId="4D45716A"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Existing work often concentrates on individual transaction attributes, general AML risk or specific network techniques</w:t>
            </w:r>
          </w:p>
        </w:tc>
        <w:tc>
          <w:tcPr>
            <w:tcW w:w="0" w:type="auto"/>
            <w:tcBorders>
              <w:top w:val="nil"/>
              <w:left w:val="nil"/>
              <w:bottom w:val="single" w:sz="4" w:space="0" w:color="000000"/>
              <w:right w:val="single" w:sz="4" w:space="0" w:color="000000"/>
            </w:tcBorders>
            <w:vAlign w:val="center"/>
            <w:hideMark/>
          </w:tcPr>
          <w:p w14:paraId="7C1CDD6D"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The proposed system combines structuring, wallet/network and agent behavioural dimensions</w:t>
            </w:r>
          </w:p>
        </w:tc>
      </w:tr>
      <w:tr w:rsidR="00AA7DDA" w:rsidRPr="00AA7DDA" w14:paraId="1B4DAD7F"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71333399"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Transaction-level analysis can overlook historical patterns</w:t>
            </w:r>
          </w:p>
        </w:tc>
        <w:tc>
          <w:tcPr>
            <w:tcW w:w="0" w:type="auto"/>
            <w:tcBorders>
              <w:top w:val="nil"/>
              <w:left w:val="nil"/>
              <w:bottom w:val="single" w:sz="4" w:space="0" w:color="000000"/>
              <w:right w:val="single" w:sz="4" w:space="0" w:color="000000"/>
            </w:tcBorders>
            <w:vAlign w:val="center"/>
            <w:hideMark/>
          </w:tcPr>
          <w:p w14:paraId="544F687F"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Suspicious behaviour can develop across sequences of transactions</w:t>
            </w:r>
          </w:p>
        </w:tc>
        <w:tc>
          <w:tcPr>
            <w:tcW w:w="0" w:type="auto"/>
            <w:tcBorders>
              <w:top w:val="nil"/>
              <w:left w:val="nil"/>
              <w:bottom w:val="single" w:sz="4" w:space="0" w:color="000000"/>
              <w:right w:val="single" w:sz="4" w:space="0" w:color="000000"/>
            </w:tcBorders>
            <w:vAlign w:val="center"/>
            <w:hideMark/>
          </w:tcPr>
          <w:p w14:paraId="0568A9FB"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Historical behavioural features are calculated from prior transaction activity</w:t>
            </w:r>
          </w:p>
        </w:tc>
      </w:tr>
      <w:tr w:rsidR="00AA7DDA" w:rsidRPr="00AA7DDA" w14:paraId="3E00E973"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0E05942B"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Limited representation of mobile-money agent behaviour in general ML AML literature</w:t>
            </w:r>
          </w:p>
        </w:tc>
        <w:tc>
          <w:tcPr>
            <w:tcW w:w="0" w:type="auto"/>
            <w:tcBorders>
              <w:top w:val="nil"/>
              <w:left w:val="nil"/>
              <w:bottom w:val="single" w:sz="4" w:space="0" w:color="000000"/>
              <w:right w:val="single" w:sz="4" w:space="0" w:color="000000"/>
            </w:tcBorders>
            <w:vAlign w:val="center"/>
            <w:hideMark/>
          </w:tcPr>
          <w:p w14:paraId="0711DD7D"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Much AML machine-learning literature focuses primarily on accounts and transactions</w:t>
            </w:r>
          </w:p>
        </w:tc>
        <w:tc>
          <w:tcPr>
            <w:tcW w:w="0" w:type="auto"/>
            <w:tcBorders>
              <w:top w:val="nil"/>
              <w:left w:val="nil"/>
              <w:bottom w:val="single" w:sz="4" w:space="0" w:color="000000"/>
              <w:right w:val="single" w:sz="4" w:space="0" w:color="000000"/>
            </w:tcBorders>
            <w:vAlign w:val="center"/>
            <w:hideMark/>
          </w:tcPr>
          <w:p w14:paraId="536AA9CC"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The frozen feature contract explicitly includes agent-related behavioural context</w:t>
            </w:r>
          </w:p>
        </w:tc>
      </w:tr>
      <w:tr w:rsidR="00AA7DDA" w:rsidRPr="00AA7DDA" w14:paraId="6A63C3BE"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4408C1A9"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Transaction relationships may contain useful AML information</w:t>
            </w:r>
          </w:p>
        </w:tc>
        <w:tc>
          <w:tcPr>
            <w:tcW w:w="0" w:type="auto"/>
            <w:tcBorders>
              <w:top w:val="nil"/>
              <w:left w:val="nil"/>
              <w:bottom w:val="single" w:sz="4" w:space="0" w:color="000000"/>
              <w:right w:val="single" w:sz="4" w:space="0" w:color="000000"/>
            </w:tcBorders>
            <w:vAlign w:val="center"/>
            <w:hideMark/>
          </w:tcPr>
          <w:p w14:paraId="1EFA44EA"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Graph and network research demonstrates the value of relational financial information</w:t>
            </w:r>
          </w:p>
        </w:tc>
        <w:tc>
          <w:tcPr>
            <w:tcW w:w="0" w:type="auto"/>
            <w:tcBorders>
              <w:top w:val="nil"/>
              <w:left w:val="nil"/>
              <w:bottom w:val="single" w:sz="4" w:space="0" w:color="000000"/>
              <w:right w:val="single" w:sz="4" w:space="0" w:color="000000"/>
            </w:tcBorders>
            <w:vAlign w:val="center"/>
            <w:hideMark/>
          </w:tcPr>
          <w:p w14:paraId="02329AA8"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Causal wallet/network fields represent counterparty and flow relationships</w:t>
            </w:r>
          </w:p>
        </w:tc>
      </w:tr>
      <w:tr w:rsidR="00AA7DDA" w:rsidRPr="00AA7DDA" w14:paraId="0B70B993"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10595062"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Risk of temporal leakage in predictive modelling</w:t>
            </w:r>
          </w:p>
        </w:tc>
        <w:tc>
          <w:tcPr>
            <w:tcW w:w="0" w:type="auto"/>
            <w:tcBorders>
              <w:top w:val="nil"/>
              <w:left w:val="nil"/>
              <w:bottom w:val="single" w:sz="4" w:space="0" w:color="000000"/>
              <w:right w:val="single" w:sz="4" w:space="0" w:color="000000"/>
            </w:tcBorders>
            <w:vAlign w:val="center"/>
            <w:hideMark/>
          </w:tcPr>
          <w:p w14:paraId="4D6D697C"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Financial predictions should not use information unavailable at prediction time</w:t>
            </w:r>
          </w:p>
        </w:tc>
        <w:tc>
          <w:tcPr>
            <w:tcW w:w="0" w:type="auto"/>
            <w:tcBorders>
              <w:top w:val="nil"/>
              <w:left w:val="nil"/>
              <w:bottom w:val="single" w:sz="4" w:space="0" w:color="000000"/>
              <w:right w:val="single" w:sz="4" w:space="0" w:color="000000"/>
            </w:tcBorders>
            <w:vAlign w:val="center"/>
            <w:hideMark/>
          </w:tcPr>
          <w:p w14:paraId="7974A87D"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Historical features are restricted to information preceding the transaction being classified</w:t>
            </w:r>
          </w:p>
        </w:tc>
      </w:tr>
      <w:tr w:rsidR="00AA7DDA" w:rsidRPr="00AA7DDA" w14:paraId="5B53C1A1"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7E8C011C"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Scarcity of accessible labelled AML data</w:t>
            </w:r>
          </w:p>
        </w:tc>
        <w:tc>
          <w:tcPr>
            <w:tcW w:w="0" w:type="auto"/>
            <w:tcBorders>
              <w:top w:val="nil"/>
              <w:left w:val="nil"/>
              <w:bottom w:val="single" w:sz="4" w:space="0" w:color="000000"/>
              <w:right w:val="single" w:sz="4" w:space="0" w:color="000000"/>
            </w:tcBorders>
            <w:vAlign w:val="center"/>
            <w:hideMark/>
          </w:tcPr>
          <w:p w14:paraId="5C137EAA"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Confidentiality and incomplete labels restrict academic AML datasets</w:t>
            </w:r>
          </w:p>
        </w:tc>
        <w:tc>
          <w:tcPr>
            <w:tcW w:w="0" w:type="auto"/>
            <w:tcBorders>
              <w:top w:val="nil"/>
              <w:left w:val="nil"/>
              <w:bottom w:val="single" w:sz="4" w:space="0" w:color="000000"/>
              <w:right w:val="single" w:sz="4" w:space="0" w:color="000000"/>
            </w:tcBorders>
            <w:vAlign w:val="center"/>
            <w:hideMark/>
          </w:tcPr>
          <w:p w14:paraId="72EF2462"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A controlled synthetic mobile-money dataset with independent ground truth is used</w:t>
            </w:r>
          </w:p>
        </w:tc>
      </w:tr>
      <w:tr w:rsidR="00AA7DDA" w:rsidRPr="00AA7DDA" w14:paraId="5A9F4695"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37382B69"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Class imbalance can make accuracy misleading</w:t>
            </w:r>
          </w:p>
        </w:tc>
        <w:tc>
          <w:tcPr>
            <w:tcW w:w="0" w:type="auto"/>
            <w:tcBorders>
              <w:top w:val="nil"/>
              <w:left w:val="nil"/>
              <w:bottom w:val="single" w:sz="4" w:space="0" w:color="000000"/>
              <w:right w:val="single" w:sz="4" w:space="0" w:color="000000"/>
            </w:tcBorders>
            <w:vAlign w:val="center"/>
            <w:hideMark/>
          </w:tcPr>
          <w:p w14:paraId="00E62088"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Suspicious activity represents a minority class</w:t>
            </w:r>
          </w:p>
        </w:tc>
        <w:tc>
          <w:tcPr>
            <w:tcW w:w="0" w:type="auto"/>
            <w:tcBorders>
              <w:top w:val="nil"/>
              <w:left w:val="nil"/>
              <w:bottom w:val="single" w:sz="4" w:space="0" w:color="000000"/>
              <w:right w:val="single" w:sz="4" w:space="0" w:color="000000"/>
            </w:tcBorders>
            <w:vAlign w:val="center"/>
            <w:hideMark/>
          </w:tcPr>
          <w:p w14:paraId="177ABC87"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Evaluation considers recall, precision, F1, balanced accuracy and ranking metrics in addition to accuracy</w:t>
            </w:r>
          </w:p>
        </w:tc>
      </w:tr>
      <w:tr w:rsidR="00AA7DDA" w:rsidRPr="00AA7DDA" w14:paraId="548B56C2"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2B63A8AB"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Model predictions require human interpretation</w:t>
            </w:r>
          </w:p>
        </w:tc>
        <w:tc>
          <w:tcPr>
            <w:tcW w:w="0" w:type="auto"/>
            <w:tcBorders>
              <w:top w:val="nil"/>
              <w:left w:val="nil"/>
              <w:bottom w:val="single" w:sz="4" w:space="0" w:color="000000"/>
              <w:right w:val="single" w:sz="4" w:space="0" w:color="000000"/>
            </w:tcBorders>
            <w:vAlign w:val="center"/>
            <w:hideMark/>
          </w:tcPr>
          <w:p w14:paraId="294A84E2"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Suspicious classification does not establish criminal conduct</w:t>
            </w:r>
          </w:p>
        </w:tc>
        <w:tc>
          <w:tcPr>
            <w:tcW w:w="0" w:type="auto"/>
            <w:tcBorders>
              <w:top w:val="nil"/>
              <w:left w:val="nil"/>
              <w:bottom w:val="single" w:sz="4" w:space="0" w:color="000000"/>
              <w:right w:val="single" w:sz="4" w:space="0" w:color="000000"/>
            </w:tcBorders>
            <w:vAlign w:val="center"/>
            <w:hideMark/>
          </w:tcPr>
          <w:p w14:paraId="2AD8A6FF"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Predictions feed an alert and investigation workflow</w:t>
            </w:r>
          </w:p>
        </w:tc>
      </w:tr>
      <w:tr w:rsidR="00AA7DDA" w:rsidRPr="00AA7DDA" w14:paraId="0AA8EACC"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14:paraId="008C2D51"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Analytical models are often evaluated separately from application workflows</w:t>
            </w:r>
          </w:p>
        </w:tc>
        <w:tc>
          <w:tcPr>
            <w:tcW w:w="0" w:type="auto"/>
            <w:tcBorders>
              <w:top w:val="nil"/>
              <w:left w:val="nil"/>
              <w:bottom w:val="single" w:sz="4" w:space="0" w:color="000000"/>
              <w:right w:val="single" w:sz="4" w:space="0" w:color="000000"/>
            </w:tcBorders>
            <w:vAlign w:val="center"/>
            <w:hideMark/>
          </w:tcPr>
          <w:p w14:paraId="1CB331ED"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A classifier alone does not provide a complete monitoring process</w:t>
            </w:r>
          </w:p>
        </w:tc>
        <w:tc>
          <w:tcPr>
            <w:tcW w:w="0" w:type="auto"/>
            <w:tcBorders>
              <w:top w:val="nil"/>
              <w:left w:val="nil"/>
              <w:bottom w:val="single" w:sz="4" w:space="0" w:color="000000"/>
              <w:right w:val="single" w:sz="4" w:space="0" w:color="000000"/>
            </w:tcBorders>
            <w:vAlign w:val="center"/>
            <w:hideMark/>
          </w:tcPr>
          <w:p w14:paraId="218F1F1A"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The model is integrated with transaction processing, alerts, investigations and real-time monitoring</w:t>
            </w:r>
          </w:p>
        </w:tc>
      </w:tr>
      <w:tr w:rsidR="00AA7DDA" w:rsidRPr="00AA7DDA" w14:paraId="7BE2CD1D" w14:textId="77777777" w:rsidTr="005922A5">
        <w:trPr>
          <w:cantSplit/>
        </w:trPr>
        <w:tc>
          <w:tcPr>
            <w:tcW w:w="0" w:type="auto"/>
            <w:tcBorders>
              <w:top w:val="nil"/>
              <w:left w:val="single" w:sz="4" w:space="0" w:color="000000"/>
              <w:bottom w:val="single" w:sz="4" w:space="0" w:color="000000"/>
              <w:right w:val="single" w:sz="4" w:space="0" w:color="000000"/>
            </w:tcBorders>
            <w:vAlign w:val="center"/>
            <w:hideMark/>
          </w:tcPr>
          <w:p>
            <w:pPr>
              <w:spacing w:line="360" w:lineRule="auto" w:before="0" w:after="320"/>
            </w:pPr>
            <w:r>
              <w:rPr>
                <w:rFonts w:ascii="Times New Roman" w:hAnsi="Times New Roman" w:eastAsia="Times New Roman" w:cs="Times New Roman"/>
                <w:color w:val="000000"/>
                <w:sz w:val="24"/>
                <w:szCs w:val="24"/>
              </w:rPr>
              <w:t>Limited integrated Zimbabwe-focused mobile-money AML workflows within the reviewed literature</w:t>
            </w:r>
          </w:p>
        </w:tc>
        <w:tc>
          <w:tcPr>
            <w:tcW w:w="0" w:type="auto"/>
            <w:tcBorders>
              <w:top w:val="nil"/>
              <w:left w:val="nil"/>
              <w:bottom w:val="single" w:sz="4" w:space="0" w:color="000000"/>
              <w:right w:val="single" w:sz="4" w:space="0" w:color="000000"/>
            </w:tcBorders>
            <w:vAlign w:val="center"/>
            <w:hideMark/>
          </w:tcPr>
          <w:p w14:paraId="11739078"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Zimbabwean literature addresses regulation and AML risk, while ML research is still comparatively limited</w:t>
            </w:r>
          </w:p>
        </w:tc>
        <w:tc>
          <w:tcPr>
            <w:tcW w:w="0" w:type="auto"/>
            <w:tcBorders>
              <w:top w:val="nil"/>
              <w:left w:val="nil"/>
              <w:bottom w:val="single" w:sz="4" w:space="0" w:color="000000"/>
              <w:right w:val="single" w:sz="4" w:space="0" w:color="000000"/>
            </w:tcBorders>
            <w:vAlign w:val="center"/>
            <w:hideMark/>
          </w:tcPr>
          <w:p w14:paraId="197A1776"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The research develops a Zimbabwe-focused mobile-money AML decision-support application</w:t>
            </w:r>
          </w:p>
        </w:tc>
      </w:tr>
    </w:tbl>
    <w:p w14:paraId="0B4416F9" w14:textId="52044A66" w:rsidR="005922A5" w:rsidRDefault="001825FF"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identified gaps motivate the proposed work without assuming that machine learning replaces authorised investigation or that comparable commercial systems do not exist.</w:t>
      </w:r>
    </w:p>
    <w:p w14:paraId="2A334111" w14:textId="77777777" w:rsidR="00AA7DDA" w:rsidRPr="00AA7DDA" w:rsidRDefault="00AA7DDA" w:rsidP="00AA7DDA">
      <w:pPr>
        <w:pStyle w:val="Heading2"/>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2.4 Proposed Work</w:t>
      </w:r>
    </w:p>
    <w:p w14:paraId="608463D2" w14:textId="77777777" w:rsidR="00F64938" w:rsidRDefault="00E6210F"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proposed work integrates the five research objectives into an authenticated mobile-money AML application for the Zimbabwean context. Its behavioural analysis considers three complementary dimensions:</w:t>
      </w:r>
    </w:p>
    <w:p w14:paraId="52E753DE" w14:textId="77777777" w:rsidR="00F64938" w:rsidRDefault="00F64938" w:rsidP="00FF441B">
      <w:pPr>
        <w:spacing w:line="360" w:lineRule="auto" w:after="320" w:before="0"/>
        <w:ind w:left="720"/>
        <w:jc w:val="both"/>
        <w:rPr>
          <w:rFonts w:eastAsia="Times New Roman"/>
        </w:rPr>
      </w:pPr>
      <w:r>
        <w:rPr>
          <w:rFonts w:ascii="Times New Roman" w:hAnsi="Times New Roman" w:eastAsia="Times New Roman" w:cs="Times New Roman"/>
          <w:color w:val="000000"/>
          <w:sz w:val="24"/>
          <w:szCs w:val="24"/>
        </w:rPr>
        <w:t>1. Structuring behaviour: transaction frequency, repeated and cumulative amounts, amount distributions and temporal patterns.</w:t>
      </w:r>
    </w:p>
    <w:p w14:paraId="216690A2" w14:textId="77777777" w:rsidR="00F64938" w:rsidRDefault="00E6210F" w:rsidP="00FF441B">
      <w:pPr>
        <w:spacing w:line="360" w:lineRule="auto" w:after="320" w:before="0"/>
        <w:ind w:left="720"/>
        <w:jc w:val="both"/>
        <w:rPr>
          <w:rFonts w:eastAsia="Times New Roman"/>
        </w:rPr>
      </w:pPr>
      <w:r>
        <w:rPr>
          <w:rFonts w:ascii="Times New Roman" w:hAnsi="Times New Roman" w:eastAsia="Times New Roman" w:cs="Times New Roman"/>
          <w:color w:val="000000"/>
          <w:sz w:val="24"/>
          <w:szCs w:val="24"/>
        </w:rPr>
        <w:t>2. Wallet/transaction-network behaviour: counterparty relationships, concentration, reciprocal activity and the onward movement of value.</w:t>
      </w:r>
    </w:p>
    <w:p w14:paraId="3A70AEA0" w14:textId="77777777" w:rsidR="00B11D22" w:rsidRDefault="00E6210F" w:rsidP="00FF441B">
      <w:pPr>
        <w:spacing w:line="360" w:lineRule="auto" w:after="320" w:before="0"/>
        <w:ind w:left="720"/>
        <w:jc w:val="both"/>
        <w:rPr>
          <w:rFonts w:eastAsia="Times New Roman"/>
        </w:rPr>
      </w:pPr>
      <w:r>
        <w:rPr>
          <w:rFonts w:ascii="Times New Roman" w:hAnsi="Times New Roman" w:eastAsia="Times New Roman" w:cs="Times New Roman"/>
          <w:color w:val="000000"/>
          <w:sz w:val="24"/>
          <w:szCs w:val="24"/>
        </w:rPr>
        <w:t>3. Agent behaviour: transaction volume and value, wallets served, concentration and changes in agent activity. The frozen V4 contract represents these dimensions together with transaction context through forty semantic fields, expanded by encoding into forty-two estimator columns.</w:t>
      </w:r>
    </w:p>
    <w:p w14:paraId="720AA244" w14:textId="45E9EE88" w:rsidR="005922A5" w:rsidRDefault="00E6210F"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controlled V4 development used 60,000 scored training transactions with 14,400 warm-up events and 15,000 scored Validation transactions with 3,600 warm-up events. Training and Validation used disjoint entities and communities: 1,200 wallets and 96 agents in twelve communities for training, and 300 wallets and 24 agents in three communities for Validation. Warm-up events supplied causal history without being scored as validation targets. Model comparison included Logistic Regression, Random Forest, HistGradientBoosting and XGBoost. The selected frozen XGBoost pipeline applies a 0.50 threshold to its suspicious-pattern probability. These are development facts, not results from newly generated application payments.</w:t>
      </w:r>
    </w:p>
    <w:p>
      <w:pPr>
        <w:spacing w:line="360" w:lineRule="auto" w:after="320" w:before="0"/>
        <w:jc w:val="both"/>
      </w:pPr>
      <w:r>
        <w:rPr>
          <w:rFonts w:ascii="Times New Roman" w:hAnsi="Times New Roman" w:eastAsia="Times New Roman" w:cs="Times New Roman"/>
          <w:color w:val="000000"/>
          <w:sz w:val="24"/>
          <w:szCs w:val="24"/>
        </w:rPr>
        <w:t>The transaction generation module serves the first objective by using existing and newly registered customer wallets. It builds an observed baseline from up to one hundred recent outgoing transfers recorded as normal or low risk, describes typical amounts and preferred recipients, and identifies fewer than five observations as limited history. Such a baseline is not proof that previous activity was legitimate; earlier simulated transactions may also form part of it. Routine sender selection rotates across customers, although a short batch cannot cover every wallet. Available funds, account permissions and canonical-history requirements continue to apply. Mixed generation targets 70% routine and 30% suspicious scenarios and preserves unique request identities and current timestamps.</w:t>
      </w:r>
    </w:p>
    <w:p>
      <w:pPr>
        <w:spacing w:line="360" w:lineRule="auto" w:after="320" w:before="0"/>
        <w:jc w:val="both"/>
      </w:pPr>
      <w:r>
        <w:rPr>
          <w:rFonts w:ascii="Times New Roman" w:hAnsi="Times New Roman" w:eastAsia="Times New Roman" w:cs="Times New Roman"/>
          <w:color w:val="000000"/>
          <w:sz w:val="24"/>
          <w:szCs w:val="24"/>
        </w:rPr>
        <w:t>The second and third objectives connect authenticated Redis/WebSocket delivery with compliance review. Authorised staff inspect flagged transactions, recorded V4 findings and separate rule findings, and record investigation outcomes. The fourth objective incorporates the completed model training and evaluation within the risk-scoring process. The operational score is distinguished from the V4 probability. Model errors remain explicit and never cause a financial replay or a silent Stage14 fallback.</w:t>
      </w:r>
    </w:p>
    <w:p>
      <w:pPr>
        <w:spacing w:line="360" w:lineRule="auto" w:after="320" w:before="0"/>
        <w:jc w:val="both"/>
      </w:pPr>
      <w:r>
        <w:rPr>
          <w:rFonts w:ascii="Times New Roman" w:hAnsi="Times New Roman" w:eastAsia="Times New Roman" w:cs="Times New Roman"/>
          <w:color w:val="000000"/>
          <w:sz w:val="24"/>
          <w:szCs w:val="24"/>
        </w:rPr>
        <w:t>The fifth objective provides persistent professional messaging among customers, between customers and compliance officers, and between compliance officers and administrators, subject to the application’s role policy. Customer–administrator messaging remains restricted. Account identity, message storage, delivery acknowledgement, read receipts and permitted device notifications support continuity of communication. Panel execution times for all five objectives are acceptance targets specified in Chapter 1 and must be measured during demonstration.</w:t>
      </w:r>
    </w:p>
    <w:p w14:paraId="2C6BAF09"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2.4.1 Feasibility Analysis</w:t>
      </w:r>
    </w:p>
    <w:p w14:paraId="2405CB2C" w14:textId="7DE48B3C" w:rsidR="005922A5" w:rsidRDefault="0049635C" w:rsidP="00AA7DDA">
      <w:pPr>
        <w:spacing w:line="360" w:lineRule="auto" w:after="320" w:before="0"/>
        <w:jc w:val="both"/>
        <w:rPr>
          <w:rFonts w:eastAsia="Times New Roman"/>
        </w:rPr>
      </w:pPr>
      <w:r w:rsidRPr="0049635C">
        <w:rPr>
          <w:rFonts w:eastAsia="Times New Roman" w:ascii="Times New Roman" w:hAnsi="Times New Roman" w:cs="Times New Roman"/>
          <w:color w:val="000000"/>
          <w:sz w:val="24"/>
          <w:szCs w:val="24"/>
        </w:rPr>
        <w:t>A feasibility study was done to evaluate the system's ability to be developed within the technical, financial, social and operational limits.</w:t>
      </w:r>
    </w:p>
    <w:p w14:paraId="7CD5AE7A" w14:textId="1CFFFFD2"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2.4.1.1 Technical Feasibility</w:t>
      </w:r>
    </w:p>
    <w:p w14:paraId="5312BE03" w14:textId="3B94B8FF" w:rsidR="005922A5" w:rsidRDefault="00F44A2B"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project was technically feasible using the available local development resources and established open-source technologies. Python and Flask provide authenticated application routes; MySQL stores financial records, canonical history, alerts and messages. scikit-learn supports the frozen preprocessing pipeline, and XGBoost supplies the selected classifier. Flask-SocketIO handles browser events, with Redis providing cross-instance publication support. The documented V4 training and Validation partitions were developed on local computing resources; their existence does not establish a production throughput claim. The frozen model artifact, feature order, threshold and history gate are verified during integration. Technical feasibility is distinct from operational deployment assurance, which also requires representative data validation, security review, measured performance and an appropriate infrastructure plan.</w:t>
      </w:r>
    </w:p>
    <w:p w14:paraId="1A86F534" w14:textId="77777777"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lastRenderedPageBreak/>
        <w:t>2.4.1.2 Economic Feasibility</w:t>
      </w:r>
    </w:p>
    <w:p w14:paraId="427AD41B" w14:textId="75F2F16C" w:rsidR="002521A2" w:rsidRDefault="008C0515"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economic assessment considered the use of existing equipment and locally available software as a way of limiting additional acquisition requirements. Python, Flask, scikit-learn, XGBoost, Redis, MySQL and the browser technologies provided the implementation environment. Controlled synthetic records also avoided purchasing confidential transaction data for the academic study. These choices did not make development time, electricity, infrastructure or future maintenance economically free. Operational adoption would still require a budget for deployment, security, backups, support, staff training and any applicable version-specific licensing. The study did not maintain a complete cost ledger or measure financial savings; economic feasibility was therefore a qualitative assessment of the available resources and anticipated workflow benefits.</w:t>
      </w:r>
    </w:p>
    <w:p>
      <w:pPr>
        <w:spacing w:line="360" w:lineRule="auto" w:before="0" w:after="320"/>
        <w:jc w:val="both"/>
      </w:pPr>
      <w:r>
        <w:rPr>
          <w:rFonts w:ascii="Times New Roman" w:hAnsi="Times New Roman" w:eastAsia="Times New Roman" w:cs="Times New Roman"/>
          <w:color w:val="000000"/>
          <w:sz w:val="24"/>
          <w:szCs w:val="24"/>
        </w:rPr>
        <w:t>The economic assessment distinguished resources already available to the researchers from expenditure that an adopting organisation would still face. Existing equipment reduced the additional acquisition needed for the local study, but did not make computing capacity, development time or electricity economically free. Operational use would require provision for hosting, backups, monitoring, security maintenance, staff training and support. The anticipated benefit was a more coherent review process with fewer manual transfers between transaction lists, investigation records and communication channels. The study did not record a monetary return on investment, so these benefits were treated as reasons for feasibility rather than measured financial savings.</w:t>
      </w:r>
    </w:p>
    <w:p w14:paraId="49BD7172" w14:textId="73ACAD22"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2.4.1.3 Social Feasibility</w:t>
      </w:r>
    </w:p>
    <w:p w14:paraId="01913C15" w14:textId="7F670E33" w:rsidR="002521A2" w:rsidRDefault="00FF14D7"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Social feasibility was considered in relation to the effects of a potentially incorrect flag on a customer. The application presented a suspicious-pattern result for review rather than automatically alleging financial crime. Authorised investigators retained responsibility for considering legitimate explanations and deciding the next action. Separate model findings, rule indicators and transaction histories made the evidence available for that review. Synthetic development records reduced exposure of real customer financial information during model experimentation, but did not remove the need to protect account identities and communications within the application. Role-based access and restricted conversations therefore remained relevant. The assessment supported an accountable review process; it did not claim that formal user acceptance or a complete privacy-impact study had been conducted.</w:t>
      </w:r>
    </w:p>
    <w:p w14:paraId="6B1FF4E1" w14:textId="7D27F93B"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2.4.1.4 Operational Feasibility</w:t>
      </w:r>
    </w:p>
    <w:p w14:paraId="426E5A8C" w14:textId="7D8F2E5E" w:rsidR="001055B5" w:rsidRDefault="006B1E00"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Operational feasibility was assessed through the sequence linking payment processing, analysis and investigation. The application committed the payment, balance changes, independent rule findings and required canonical records before authorised history verification and V4 feature construction. The frozen model then estimated the suspicious-pattern probability. Applicable findings became available to authorised staff through alerts and investigation interfaces, while real-time events updated the visible state. Recorded analysis failures preserved the payment and supported an audited nonfinancial retry. This connected workflow gave the users a defined route from a transaction to review and communication. Local feasibility did not establish readiness for a mobile-money operator?s production environment: representative-data validation, organisational acceptance, security review, infrastructure planning and relevant regulatory requirements remained separate considerations.</w:t>
      </w:r>
    </w:p>
    <w:p w14:paraId="3322DC07" w14:textId="42473FFB" w:rsidR="00AA7DDA" w:rsidRPr="00AA7DDA" w:rsidRDefault="00AA7DDA" w:rsidP="00AA7DDA">
      <w:pPr>
        <w:pStyle w:val="Heading3"/>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2.4.1.5 Feasibility Overview</w:t>
      </w:r>
    </w:p>
    <w:p w14:paraId="43568ED2" w14:textId="1ADBDF08" w:rsidR="001055B5" w:rsidRDefault="00287B41" w:rsidP="00AA7DDA">
      <w:pPr>
        <w:spacing w:line="360" w:lineRule="auto" w:after="320" w:before="0"/>
        <w:jc w:val="both"/>
        <w:rPr>
          <w:rFonts w:eastAsia="Times New Roman"/>
        </w:rPr>
      </w:pPr>
      <w:r>
        <w:rPr>
          <w:rFonts w:ascii="Times New Roman" w:hAnsi="Times New Roman" w:eastAsia="Times New Roman" w:cs="Times New Roman"/>
          <w:color w:val="000000"/>
          <w:sz w:val="24"/>
          <w:szCs w:val="24"/>
        </w:rPr>
        <w:t>The feasibility assessment supported development and local evaluation of the application with the available resources. It did not replace representative operational validation or measured panel evidence.</w:t>
      </w:r>
    </w:p>
    <w:p w14:paraId="05E5ED7A" w14:textId="1E9488F3" w:rsidR="00AA7DDA" w:rsidRPr="00AA7DDA" w:rsidRDefault="00AA7DDA" w:rsidP="00AA7DDA">
      <w:pPr>
        <w:pStyle w:val="Caption"/>
        <w:keepNext/>
        <w:spacing w:line="240" w:lineRule="auto" w:before="0" w:after="320"/>
        <w:jc w:val="center"/>
        <w:rPr>
          <w:rFonts w:eastAsia="Times New Roman"/>
          <w:lang w:val="en-ZW"/>
        </w:rPr>
      </w:pPr>
      <w:r w:rsidRPr="00AA7DDA">
        <w:rPr>
          <w:rFonts w:eastAsia="Times New Roman" w:ascii="Times New Roman" w:hAnsi="Times New Roman" w:cs="Times New Roman"/>
          <w:b/>
          <w:bCs/>
          <w:color w:val="000000"/>
          <w:sz w:val="24"/>
          <w:szCs w:val="24"/>
          <w:lang w:val="en-ZW"/>
        </w:rPr>
        <w:t>Table 2.2: Feasibility Analysis Summary</w:t>
      </w:r>
    </w:p>
    <w:tbl>
      <w:tblPr>
        <w:tblW w:w="0" w:type="auto"/>
        <w:tblBorders>
          <w:top w:val="nil"/>
          <w:left w:val="nil"/>
          <w:bottom w:val="nil"/>
          <w:right w:val="nil"/>
          <w:insideH w:val="nil"/>
          <w:insideV w:val="nil"/>
        </w:tblBorders>
        <w:tblLayout w:type="autofit"/>
        <w:tblCellMar>
          <w:top w:w="15" w:type="dxa"/>
          <w:left w:w="15" w:type="dxa"/>
          <w:bottom w:w="15" w:type="dxa"/>
          <w:right w:w="15" w:type="dxa"/>
        </w:tblCellMar>
        <w:tblLook w:val="04A0" w:firstRow="1" w:lastRow="0" w:firstColumn="1" w:lastColumn="0" w:noHBand="0" w:noVBand="1"/>
      </w:tblPr>
      <w:tblGrid>
        <w:gridCol w:w="1522"/>
        <w:gridCol w:w="7494"/>
      </w:tblGrid>
      <w:tr w:rsidR="00AA7DDA" w:rsidRPr="00AA7DDA" w14:paraId="03C63170" w14:textId="77777777" w:rsidTr="001055B5">
        <w:trPr>
          <w:tblHeader/>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0D40DAD" w14:textId="77777777" w:rsidR="00AA7DDA" w:rsidRPr="00AA7DDA" w:rsidRDefault="00AA7DDA" w:rsidP="00AA7DDA">
            <w:pPr>
              <w:spacing w:line="360" w:lineRule="auto" w:after="320" w:before="0"/>
              <w:rPr>
                <w:rFonts w:eastAsia="Times New Roman"/>
                <w:b/>
                <w:bCs/>
                <w:lang w:val="en-ZW"/>
              </w:rPr>
            </w:pPr>
            <w:r>
              <w:rPr>
                <w:rFonts w:ascii="Times New Roman" w:hAnsi="Times New Roman" w:eastAsia="Times New Roman" w:cs="Times New Roman"/>
                <w:color w:val="000000"/>
                <w:sz w:val="24"/>
                <w:szCs w:val="24"/>
              </w:rPr>
              <w:t>Feasibility Area</w:t>
            </w:r>
          </w:p>
        </w:tc>
        <w:tc>
          <w:tcPr>
            <w:tcW w:w="0" w:type="auto"/>
            <w:tcBorders>
              <w:top w:val="single" w:sz="4" w:space="0" w:color="000000"/>
              <w:left w:val="nil"/>
              <w:bottom w:val="single" w:sz="4" w:space="0" w:color="000000"/>
              <w:right w:val="single" w:sz="4" w:space="0" w:color="000000"/>
            </w:tcBorders>
            <w:vAlign w:val="center"/>
            <w:hideMark/>
          </w:tcPr>
          <w:p w14:paraId="421D9411" w14:textId="77777777" w:rsidR="00AA7DDA" w:rsidRPr="00AA7DDA" w:rsidRDefault="00AA7DDA" w:rsidP="00AA7DDA">
            <w:pPr>
              <w:spacing w:line="360" w:lineRule="auto" w:after="320" w:before="0"/>
              <w:rPr>
                <w:rFonts w:eastAsia="Times New Roman"/>
                <w:b/>
                <w:bCs/>
                <w:lang w:val="en-ZW"/>
              </w:rPr>
            </w:pPr>
            <w:r>
              <w:rPr>
                <w:rFonts w:ascii="Times New Roman" w:hAnsi="Times New Roman" w:eastAsia="Times New Roman" w:cs="Times New Roman"/>
                <w:color w:val="000000"/>
                <w:sz w:val="24"/>
                <w:szCs w:val="24"/>
              </w:rPr>
              <w:t>Assessment</w:t>
            </w:r>
          </w:p>
        </w:tc>
      </w:tr>
      <w:tr w:rsidR="00AA7DDA" w:rsidRPr="00AA7DDA" w14:paraId="51AE31C0" w14:textId="77777777" w:rsidTr="001055B5">
        <w:trPr>
          <w:cantSplit/>
        </w:trPr>
        <w:tc>
          <w:tcPr>
            <w:tcW w:w="0" w:type="auto"/>
            <w:tcBorders>
              <w:top w:val="nil"/>
              <w:left w:val="single" w:sz="4" w:space="0" w:color="000000"/>
              <w:bottom w:val="single" w:sz="4" w:space="0" w:color="000000"/>
              <w:right w:val="single" w:sz="4" w:space="0" w:color="000000"/>
            </w:tcBorders>
            <w:vAlign w:val="center"/>
            <w:hideMark/>
          </w:tcPr>
          <w:p w14:paraId="65634052"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Technical</w:t>
            </w:r>
          </w:p>
        </w:tc>
        <w:tc>
          <w:tcPr>
            <w:tcW w:w="0" w:type="auto"/>
            <w:tcBorders>
              <w:top w:val="nil"/>
              <w:left w:val="nil"/>
              <w:bottom w:val="single" w:sz="4" w:space="0" w:color="000000"/>
              <w:right w:val="single" w:sz="4" w:space="0" w:color="000000"/>
            </w:tcBorders>
            <w:vAlign w:val="center"/>
            <w:hideMark/>
          </w:tcPr>
          <w:p w14:paraId="2BA77131"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Feasible using available hardware, Python, Flask, MySQL, scikit-learn, XGBoost, Redis and web technologies</w:t>
            </w:r>
          </w:p>
        </w:tc>
      </w:tr>
      <w:tr w:rsidR="00AA7DDA" w:rsidRPr="00AA7DDA" w14:paraId="296AB1EE" w14:textId="77777777" w:rsidTr="001055B5">
        <w:trPr>
          <w:cantSplit/>
        </w:trPr>
        <w:tc>
          <w:tcPr>
            <w:tcW w:w="0" w:type="auto"/>
            <w:tcBorders>
              <w:top w:val="nil"/>
              <w:left w:val="single" w:sz="4" w:space="0" w:color="000000"/>
              <w:bottom w:val="single" w:sz="4" w:space="0" w:color="000000"/>
              <w:right w:val="single" w:sz="4" w:space="0" w:color="000000"/>
            </w:tcBorders>
            <w:vAlign w:val="center"/>
            <w:hideMark/>
          </w:tcPr>
          <w:p w14:paraId="22B7817F"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Economic</w:t>
            </w:r>
          </w:p>
        </w:tc>
        <w:tc>
          <w:tcPr>
            <w:tcW w:w="0" w:type="auto"/>
            <w:tcBorders>
              <w:top w:val="nil"/>
              <w:left w:val="nil"/>
              <w:bottom w:val="single" w:sz="4" w:space="0" w:color="000000"/>
              <w:right w:val="single" w:sz="4" w:space="0" w:color="000000"/>
            </w:tcBorders>
            <w:vAlign w:val="center"/>
            <w:hideMark/>
          </w:tcPr>
          <w:p w14:paraId="74EFAA71"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Feasible because the research primarily uses open-source software and existing computing resources</w:t>
            </w:r>
          </w:p>
        </w:tc>
      </w:tr>
      <w:tr w:rsidR="00AA7DDA" w:rsidRPr="00AA7DDA" w14:paraId="41FF4BD8" w14:textId="77777777" w:rsidTr="001055B5">
        <w:trPr>
          <w:cantSplit/>
        </w:trPr>
        <w:tc>
          <w:tcPr>
            <w:tcW w:w="0" w:type="auto"/>
            <w:tcBorders>
              <w:top w:val="nil"/>
              <w:left w:val="single" w:sz="4" w:space="0" w:color="000000"/>
              <w:bottom w:val="single" w:sz="4" w:space="0" w:color="000000"/>
              <w:right w:val="single" w:sz="4" w:space="0" w:color="000000"/>
            </w:tcBorders>
            <w:vAlign w:val="center"/>
            <w:hideMark/>
          </w:tcPr>
          <w:p w14:paraId="7D38BB1E"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Social</w:t>
            </w:r>
          </w:p>
        </w:tc>
        <w:tc>
          <w:tcPr>
            <w:tcW w:w="0" w:type="auto"/>
            <w:tcBorders>
              <w:top w:val="nil"/>
              <w:left w:val="nil"/>
              <w:bottom w:val="single" w:sz="4" w:space="0" w:color="000000"/>
              <w:right w:val="single" w:sz="4" w:space="0" w:color="000000"/>
            </w:tcBorders>
            <w:vAlign w:val="center"/>
            <w:hideMark/>
          </w:tcPr>
          <w:p w14:paraId="046F6EEE"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Feasible because predictions support human investigation and synthetic data avoid exposure of real customer transactions</w:t>
            </w:r>
          </w:p>
        </w:tc>
      </w:tr>
      <w:tr w:rsidR="00AA7DDA" w:rsidRPr="00AA7DDA" w14:paraId="245B8977" w14:textId="77777777" w:rsidTr="001055B5">
        <w:trPr>
          <w:cantSplit/>
        </w:trPr>
        <w:tc>
          <w:tcPr>
            <w:tcW w:w="0" w:type="auto"/>
            <w:tcBorders>
              <w:top w:val="nil"/>
              <w:left w:val="single" w:sz="4" w:space="0" w:color="000000"/>
              <w:bottom w:val="single" w:sz="4" w:space="0" w:color="000000"/>
              <w:right w:val="single" w:sz="4" w:space="0" w:color="000000"/>
            </w:tcBorders>
            <w:vAlign w:val="center"/>
            <w:hideMark/>
          </w:tcPr>
          <w:p w14:paraId="7A0D7DD3"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Operational</w:t>
            </w:r>
          </w:p>
        </w:tc>
        <w:tc>
          <w:tcPr>
            <w:tcW w:w="0" w:type="auto"/>
            <w:tcBorders>
              <w:top w:val="nil"/>
              <w:left w:val="nil"/>
              <w:bottom w:val="single" w:sz="4" w:space="0" w:color="000000"/>
              <w:right w:val="single" w:sz="4" w:space="0" w:color="000000"/>
            </w:tcBorders>
            <w:vAlign w:val="center"/>
            <w:hideMark/>
          </w:tcPr>
          <w:p w14:paraId="72A0F81E" w14:textId="77777777" w:rsidR="00AA7DDA" w:rsidRPr="00AA7DDA" w:rsidRDefault="00AA7DDA" w:rsidP="00AA7DDA">
            <w:pPr>
              <w:spacing w:line="360" w:lineRule="auto" w:after="320" w:before="0"/>
              <w:rPr>
                <w:rFonts w:eastAsia="Times New Roman"/>
                <w:lang w:val="en-ZW"/>
              </w:rPr>
            </w:pPr>
            <w:r>
              <w:rPr>
                <w:rFonts w:ascii="Times New Roman" w:hAnsi="Times New Roman" w:eastAsia="Times New Roman" w:cs="Times New Roman"/>
                <w:color w:val="000000"/>
                <w:sz w:val="24"/>
                <w:szCs w:val="24"/>
              </w:rPr>
              <w:t>Feasible as an integrated research workflow for transaction processing, behavioural analysis, alerts and investigations</w:t>
            </w:r>
          </w:p>
        </w:tc>
      </w:tr>
    </w:tbl>
    <w:p w14:paraId="0F040FAE" w14:textId="79607224" w:rsidR="001055B5" w:rsidRDefault="00993E3F" w:rsidP="00AA7DDA">
      <w:pPr>
        <w:spacing w:line="360" w:lineRule="auto" w:after="320" w:before="0"/>
        <w:jc w:val="both"/>
        <w:rPr>
          <w:rFonts w:eastAsia="Times New Roman"/>
        </w:rPr>
      </w:pPr>
      <w:r w:rsidRPr="00993E3F">
        <w:rPr>
          <w:rFonts w:eastAsia="Times New Roman" w:ascii="Times New Roman" w:hAnsi="Times New Roman" w:cs="Times New Roman"/>
          <w:color w:val="000000"/>
          <w:sz w:val="24"/>
          <w:szCs w:val="24"/>
        </w:rPr>
        <w:t>The feasibility analysis thus confirmed the design and development of the proposed mobile-money AML decision-support system.</w:t>
      </w:r>
    </w:p>
    <w:p>
      <w:pPr>
        <w:spacing w:line="360" w:lineRule="auto" w:before="0" w:after="320"/>
        <w:jc w:val="both"/>
      </w:pPr>
      <w:r>
        <w:rPr>
          <w:rFonts w:ascii="Times New Roman" w:hAnsi="Times New Roman" w:eastAsia="Times New Roman" w:cs="Times New Roman"/>
          <w:color w:val="000000"/>
          <w:sz w:val="24"/>
          <w:szCs w:val="24"/>
        </w:rPr>
        <w:t>The feasibility conclusion was therefore conditional on the stated research boundary. The available components supported implementation and local demonstration of the five processes, while the absence of operator integration, representative operational labels and a completed production deployment study limited wider conclusions. This distinction connected the literature review to the methodology: Chapter 3 had to explain how the chosen technologies were used, how historical information was restricted, how an immutable payment was separated from a repeatable analysis step and how each objective would be observed. Feasibility established a justified route to implementation; the results chapter remained responsible for reporting what the recorded evidence actually demonstrated.</w:t>
      </w:r>
    </w:p>
    <w:p w14:paraId="58A5FA0F" w14:textId="63CEC90E" w:rsidR="00AA7DDA" w:rsidRPr="00AA7DDA" w:rsidRDefault="00AA7DDA" w:rsidP="00AA7DDA">
      <w:pPr>
        <w:pStyle w:val="Heading2"/>
        <w:keepNext/>
        <w:spacing w:before="0" w:after="320" w:line="360" w:lineRule="auto"/>
        <w:rPr>
          <w:rFonts w:eastAsia="Times New Roman" w:ascii="Times New Roman" w:hAnsi="Times New Roman" w:cs="Times New Roman"/>
          <w:b w:val="1"/>
          <w:bCs w:val="1"/>
          <w:color w:val="000000"/>
          <w:sz w:val="24"/>
          <w:szCs w:val="24"/>
          <w:u w:val="none"/>
          <w:lang w:val="en-ZW"/>
        </w:rPr>
      </w:pPr>
      <w:r w:rsidRPr="00AA7DDA">
        <w:rPr>
          <w:rFonts w:eastAsia="Times New Roman" w:ascii="Times New Roman" w:hAnsi="Times New Roman" w:cs="Times New Roman"/>
          <w:b w:val="1"/>
          <w:bCs w:val="1"/>
          <w:color w:val="000000"/>
          <w:sz w:val="24"/>
          <w:szCs w:val="24"/>
          <w:u w:val="none"/>
          <w:lang w:val="en-ZW"/>
        </w:rPr>
        <w:t>2.5 Summary</w:t>
      </w:r>
    </w:p>
    <w:p w14:paraId="40C9A9E6" w14:textId="1D533931" w:rsidR="00AA7DDA" w:rsidRPr="00AA7DDA" w:rsidRDefault="00315FE6" w:rsidP="00AA7DDA">
      <w:pPr>
        <w:spacing w:line="360" w:lineRule="auto" w:after="320" w:before="0"/>
        <w:jc w:val="both"/>
        <w:rPr>
          <w:rFonts w:eastAsia="Times New Roman"/>
          <w:lang w:val="en-ZW"/>
        </w:rPr>
      </w:pPr>
      <w:r>
        <w:rPr>
          <w:rFonts w:ascii="Times New Roman" w:hAnsi="Times New Roman" w:eastAsia="Times New Roman" w:cs="Times New Roman"/>
          <w:color w:val="000000"/>
          <w:sz w:val="24"/>
          <w:szCs w:val="24"/>
        </w:rPr>
        <w:t>This chapter reviewed the academic sources on mobile money, suspicious transactions and financial-crime detection using machine-learning methods. The review was done in a funnel format from the international mobile-money and AML context to the African context and then to the Zimbabwe context. The literature showed that mobile money is one of the important tools that can significantly drive financial inclusion, but can also be used for financial crimes. When monitoring AML, therefore, it is important to have mechanisms that can help analyse the transactions without making the assumption that any unusual activity is criminal activity. The review identified three areas of behaviour to be especially relevant to this research: structuring behaviour, wallet/transaction-network behaviour and agent behaviour. Studies into transaction networks showed the relevance of links between financial institutions, and mobile-money studies showed the relevance of agent networks in terms of their operations. The results of machine-learning research showed that data-driven methods could help in prioritizing suspicious activity to be investigated. Furthermore, the review also highlighted methodological difficulties such as small amount of labelled AML data, class imbalance, temporal leakage, and the requirement for human interpretation of the model predictions. Synthetic data are useful for research as a practical way to obtain data when operational data are not available, but results should be interpreted with care and real-world data should be used to validate the results. Addressing the identified gaps, the proposed research integrated the historical behavioural analysis with a machine-learning classification system, transaction processing, suspicious-activity alerts, investigation functionality and real-time-monitoring into an AML research application for the context of mobile-money in Zimbabwe. The feasibility assessment supported development with the available resources while retaining authorised human investigation within the decision-support process. The methodology, system architecture, data generation and preprocessing, behavioural feature construction, model design, training, validation and integration of the frozen model with the mobile-money AML application are presented in Chapter 3.</w:t>
      </w:r>
    </w:p>
    <w:sectPr w:rsidR="00AA7DDA" w:rsidSect="00983555">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73688" w14:textId="77777777" w:rsidR="00160518" w:rsidRDefault="00160518">
      <w:pPr>
        <w:spacing w:after="0" w:line="240" w:lineRule="auto"/>
      </w:pPr>
      <w:r>
        <w:separator/>
      </w:r>
    </w:p>
  </w:endnote>
  <w:endnote w:type="continuationSeparator" w:id="0">
    <w:p w14:paraId="65C51889" w14:textId="77777777" w:rsidR="00160518" w:rsidRDefault="00160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05B80" w14:textId="77777777" w:rsidR="0004794A" w:rsidRDefault="00000000">
    <w:pPr>
      <w:jc w:val="center"/>
    </w:pPr>
    <w:r>
      <w:rPr>
        <w:rFonts w:ascii="Times New Roman" w:hAnsi="Times New Roman" w:eastAsia="Times New Roman" w:cs="Times New Roman"/>
        <w:color w:val="000000"/>
        <w:sz w:val="24"/>
        <w:szCs w:val="24"/>
      </w:rPr>
      <w:fldChar w:fldCharType="begin"/>
    </w:r>
    <w:r>
      <w:rPr>
        <w:rFonts w:ascii="Times New Roman" w:hAnsi="Times New Roman" w:eastAsia="Times New Roman" w:cs="Times New Roman"/>
        <w:color w:val="000000"/>
        <w:sz w:val="24"/>
        <w:szCs w:val="24"/>
      </w:rPr>
      <w:instrText>PAGE</w:instrText>
    </w:r>
    <w:r>
      <w:rPr>
        <w:rFonts w:ascii="Times New Roman" w:hAnsi="Times New Roman" w:eastAsia="Times New Roman" w:cs="Times New Roman"/>
        <w:color w:val="000000"/>
        <w:sz w:val="24"/>
        <w:szCs w:val="24"/>
      </w:rPr>
      <w:fldChar w:fldCharType="separate"/>
    </w:r>
    <w:r w:rsidR="00AA7DDA">
      <w:rPr>
        <w:rFonts w:ascii="Times New Roman" w:hAnsi="Times New Roman" w:eastAsia="Times New Roman" w:cs="Times New Roman"/>
        <w:noProof/>
        <w:color w:val="000000"/>
        <w:sz w:val="24"/>
        <w:szCs w:val="24"/>
      </w:rPr>
      <w:t>1</w:t>
    </w:r>
    <w:r>
      <w:rPr>
        <w:rFonts w:ascii="Times New Roman" w:hAnsi="Times New Roman" w:eastAsia="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450AC" w14:textId="77777777" w:rsidR="00160518" w:rsidRDefault="00160518">
      <w:pPr>
        <w:spacing w:after="0" w:line="240" w:lineRule="auto"/>
      </w:pPr>
      <w:r>
        <w:separator/>
      </w:r>
    </w:p>
  </w:footnote>
  <w:footnote w:type="continuationSeparator" w:id="0">
    <w:p w14:paraId="3CB5CE38" w14:textId="77777777" w:rsidR="00160518" w:rsidRDefault="00160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8601C"/>
    <w:multiLevelType w:val="multilevel"/>
    <w:tmpl w:val="9496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220A1"/>
    <w:multiLevelType w:val="multilevel"/>
    <w:tmpl w:val="F842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366488"/>
    <w:multiLevelType w:val="multilevel"/>
    <w:tmpl w:val="0FC4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717568">
    <w:abstractNumId w:val="2"/>
  </w:num>
  <w:num w:numId="2" w16cid:durableId="786580699">
    <w:abstractNumId w:val="0"/>
  </w:num>
  <w:num w:numId="3" w16cid:durableId="1949196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55"/>
    <w:rsid w:val="000056E8"/>
    <w:rsid w:val="0004794A"/>
    <w:rsid w:val="0006128E"/>
    <w:rsid w:val="00065A44"/>
    <w:rsid w:val="00085439"/>
    <w:rsid w:val="000A7967"/>
    <w:rsid w:val="000F0A87"/>
    <w:rsid w:val="001055B5"/>
    <w:rsid w:val="00160518"/>
    <w:rsid w:val="0016088F"/>
    <w:rsid w:val="001825FF"/>
    <w:rsid w:val="00184929"/>
    <w:rsid w:val="001E06AC"/>
    <w:rsid w:val="001E4595"/>
    <w:rsid w:val="001E66D4"/>
    <w:rsid w:val="001E7BA2"/>
    <w:rsid w:val="001F4287"/>
    <w:rsid w:val="00200B4C"/>
    <w:rsid w:val="0020358F"/>
    <w:rsid w:val="00211CB5"/>
    <w:rsid w:val="00225741"/>
    <w:rsid w:val="00237853"/>
    <w:rsid w:val="002472DF"/>
    <w:rsid w:val="002521A2"/>
    <w:rsid w:val="00256306"/>
    <w:rsid w:val="002567CE"/>
    <w:rsid w:val="0027146C"/>
    <w:rsid w:val="00274599"/>
    <w:rsid w:val="00286B99"/>
    <w:rsid w:val="00287B41"/>
    <w:rsid w:val="002B2212"/>
    <w:rsid w:val="002B2706"/>
    <w:rsid w:val="002E2C17"/>
    <w:rsid w:val="002F4470"/>
    <w:rsid w:val="00315FE6"/>
    <w:rsid w:val="0035329F"/>
    <w:rsid w:val="00365A57"/>
    <w:rsid w:val="0037370B"/>
    <w:rsid w:val="003831AD"/>
    <w:rsid w:val="003943B8"/>
    <w:rsid w:val="003A5657"/>
    <w:rsid w:val="003C0665"/>
    <w:rsid w:val="00417ADA"/>
    <w:rsid w:val="0042665F"/>
    <w:rsid w:val="0048759B"/>
    <w:rsid w:val="0049635C"/>
    <w:rsid w:val="004B65D3"/>
    <w:rsid w:val="004C608D"/>
    <w:rsid w:val="00530C3A"/>
    <w:rsid w:val="00543CDB"/>
    <w:rsid w:val="00580BC8"/>
    <w:rsid w:val="005922A5"/>
    <w:rsid w:val="00597FEA"/>
    <w:rsid w:val="005A2DA3"/>
    <w:rsid w:val="005E6DCD"/>
    <w:rsid w:val="005F2DB5"/>
    <w:rsid w:val="005F6335"/>
    <w:rsid w:val="00607FF8"/>
    <w:rsid w:val="0064692B"/>
    <w:rsid w:val="00677E3A"/>
    <w:rsid w:val="006818E6"/>
    <w:rsid w:val="00696A4D"/>
    <w:rsid w:val="006B1E00"/>
    <w:rsid w:val="006C6941"/>
    <w:rsid w:val="006E095B"/>
    <w:rsid w:val="00731A3D"/>
    <w:rsid w:val="007622C8"/>
    <w:rsid w:val="00764A2F"/>
    <w:rsid w:val="00771F9B"/>
    <w:rsid w:val="007910B0"/>
    <w:rsid w:val="00796B3A"/>
    <w:rsid w:val="007B1A3C"/>
    <w:rsid w:val="007C28BF"/>
    <w:rsid w:val="007F6A8A"/>
    <w:rsid w:val="00825FBC"/>
    <w:rsid w:val="00826A81"/>
    <w:rsid w:val="00863630"/>
    <w:rsid w:val="008C0515"/>
    <w:rsid w:val="00916D42"/>
    <w:rsid w:val="00956455"/>
    <w:rsid w:val="00983555"/>
    <w:rsid w:val="00993E3F"/>
    <w:rsid w:val="009E3F43"/>
    <w:rsid w:val="009E6176"/>
    <w:rsid w:val="00A445EA"/>
    <w:rsid w:val="00A77248"/>
    <w:rsid w:val="00A90122"/>
    <w:rsid w:val="00A952D2"/>
    <w:rsid w:val="00AA7DDA"/>
    <w:rsid w:val="00AF797D"/>
    <w:rsid w:val="00B11D22"/>
    <w:rsid w:val="00B56B82"/>
    <w:rsid w:val="00B607C6"/>
    <w:rsid w:val="00BA7416"/>
    <w:rsid w:val="00BC310D"/>
    <w:rsid w:val="00BD6A76"/>
    <w:rsid w:val="00C01858"/>
    <w:rsid w:val="00C04DCC"/>
    <w:rsid w:val="00C44DEF"/>
    <w:rsid w:val="00C50529"/>
    <w:rsid w:val="00C60972"/>
    <w:rsid w:val="00C64B38"/>
    <w:rsid w:val="00C96762"/>
    <w:rsid w:val="00CB2C17"/>
    <w:rsid w:val="00CB40F7"/>
    <w:rsid w:val="00D229FD"/>
    <w:rsid w:val="00D27437"/>
    <w:rsid w:val="00D3185C"/>
    <w:rsid w:val="00D37C9C"/>
    <w:rsid w:val="00E13664"/>
    <w:rsid w:val="00E17BCB"/>
    <w:rsid w:val="00E2068D"/>
    <w:rsid w:val="00E6210F"/>
    <w:rsid w:val="00EB7C5D"/>
    <w:rsid w:val="00EF2B96"/>
    <w:rsid w:val="00F3243C"/>
    <w:rsid w:val="00F32ED6"/>
    <w:rsid w:val="00F40DA2"/>
    <w:rsid w:val="00F44A2B"/>
    <w:rsid w:val="00F51935"/>
    <w:rsid w:val="00F63C65"/>
    <w:rsid w:val="00F64938"/>
    <w:rsid w:val="00F7518A"/>
    <w:rsid w:val="00F83090"/>
    <w:rsid w:val="00FF14D7"/>
    <w:rsid w:val="00FF4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3BBB"/>
  <w15:chartTrackingRefBased/>
  <w15:docId w15:val="{DE6A79E8-4329-4055-BD9F-D41C30B0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color w:val="000000"/>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555"/>
    <w:pPr>
      <w:spacing w:after="120" w:line="360" w:lineRule="auto"/>
      <w:jc w:val="both"/>
    </w:pPr>
    <w:rPr>
      <w:rFonts w:ascii="Times New Roman" w:hAnsi="Times New Roman" w:eastAsia="Times New Roman" w:cs="Times New Roman"/>
      <w:color w:val="000000"/>
      <w:sz w:val="24"/>
      <w:szCs w:val="24"/>
      <w:lang w:val="en-GB" w:eastAsia="ja-JP"/>
    </w:rPr>
  </w:style>
  <w:style w:type="paragraph" w:styleId="Heading1">
    <w:name w:val="heading 1"/>
    <w:basedOn w:val="Normal"/>
    <w:next w:val="Normal"/>
    <w:link w:val="Heading1Char"/>
    <w:uiPriority w:val="9"/>
    <w:qFormat/>
    <w:rsid w:val="00983555"/>
    <w:pPr>
      <w:keepNext/>
      <w:keepLines/>
      <w:spacing w:before="360"/>
      <w:outlineLvl w:val="0"/>
    </w:pPr>
    <w:rPr>
      <w:rFonts w:ascii="Times New Roman" w:hAnsi="Times New Roman" w:eastAsia="Times New Roman" w:cs="Times New Roman"/>
      <w:b/>
      <w:bCs w:val="1"/>
      <w:color w:val="000000"/>
      <w:sz w:val="24"/>
      <w:szCs w:val="24"/>
      <w:u w:val="none"/>
      <w:lang w:val="en-US" w:eastAsia="en-US"/>
    </w:rPr>
  </w:style>
  <w:style w:type="paragraph" w:styleId="Heading2">
    <w:name w:val="heading 2"/>
    <w:basedOn w:val="Normal"/>
    <w:next w:val="Normal"/>
    <w:link w:val="Heading2Char"/>
    <w:uiPriority w:val="9"/>
    <w:semiHidden/>
    <w:unhideWhenUsed/>
    <w:qFormat/>
    <w:rsid w:val="00983555"/>
    <w:pPr>
      <w:keepNext/>
      <w:keepLines/>
      <w:spacing w:before="160"/>
      <w:outlineLvl w:val="1"/>
    </w:pPr>
    <w:rPr>
      <w:rFonts w:ascii="Times New Roman" w:hAnsi="Times New Roman" w:eastAsia="Times New Roman" w:cs="Times New Roman"/>
      <w:b/>
      <w:bCs w:val="1"/>
      <w:color w:val="000000"/>
      <w:sz w:val="24"/>
      <w:szCs w:val="24"/>
      <w:u w:val="none"/>
      <w:lang w:val="en-US" w:eastAsia="en-US"/>
    </w:rPr>
  </w:style>
  <w:style w:type="paragraph" w:styleId="Heading3">
    <w:name w:val="heading 3"/>
    <w:basedOn w:val="Normal"/>
    <w:next w:val="Normal"/>
    <w:link w:val="Heading3Char"/>
    <w:uiPriority w:val="9"/>
    <w:semiHidden/>
    <w:unhideWhenUsed/>
    <w:qFormat/>
    <w:rsid w:val="00983555"/>
    <w:pPr>
      <w:keepNext/>
      <w:keepLines/>
      <w:spacing w:before="160"/>
      <w:outlineLvl w:val="2"/>
    </w:pPr>
    <w:rPr>
      <w:rFonts w:ascii="Times New Roman" w:hAnsi="Times New Roman" w:eastAsia="Times New Roman" w:cs="Times New Roman"/>
      <w:b/>
      <w:bCs w:val="1"/>
      <w:color w:val="000000"/>
      <w:sz w:val="24"/>
      <w:szCs w:val="24"/>
      <w:u w:val="none"/>
      <w:lang w:val="en-US" w:eastAsia="en-US"/>
    </w:rPr>
  </w:style>
  <w:style w:type="paragraph" w:styleId="Heading4">
    <w:name w:val="heading 4"/>
    <w:basedOn w:val="Normal"/>
    <w:next w:val="Normal"/>
    <w:link w:val="Heading4Char"/>
    <w:uiPriority w:val="9"/>
    <w:semiHidden/>
    <w:unhideWhenUsed/>
    <w:qFormat/>
    <w:rsid w:val="00983555"/>
    <w:pPr>
      <w:keepNext/>
      <w:keepLines/>
      <w:spacing w:before="80" w:after="40" w:line="259" w:lineRule="auto"/>
      <w:outlineLvl w:val="3"/>
    </w:pPr>
    <w:rPr>
      <w:rFonts w:ascii="Times New Roman" w:hAnsi="Times New Roman" w:eastAsia="Times New Roman" w:cs="Times New Roman"/>
      <w:b/>
      <w:bCs w:val="1"/>
      <w:i/>
      <w:iCs/>
      <w:color w:val="000000"/>
      <w:sz w:val="24"/>
      <w:szCs w:val="24"/>
      <w:u w:val="none"/>
      <w:lang w:val="en-US" w:eastAsia="en-US"/>
    </w:rPr>
  </w:style>
  <w:style w:type="paragraph" w:styleId="Heading5">
    <w:name w:val="heading 5"/>
    <w:basedOn w:val="Normal"/>
    <w:next w:val="Normal"/>
    <w:link w:val="Heading5Char"/>
    <w:uiPriority w:val="9"/>
    <w:semiHidden/>
    <w:unhideWhenUsed/>
    <w:qFormat/>
    <w:rsid w:val="00983555"/>
    <w:pPr>
      <w:keepNext/>
      <w:keepLines/>
      <w:spacing w:before="80" w:after="40" w:line="259" w:lineRule="auto"/>
      <w:outlineLvl w:val="4"/>
    </w:pPr>
    <w:rPr>
      <w:rFonts w:ascii="Times New Roman" w:hAnsi="Times New Roman" w:eastAsia="Times New Roman" w:cs="Times New Roman"/>
      <w:b/>
      <w:bCs w:val="1"/>
      <w:color w:val="000000"/>
      <w:sz w:val="24"/>
      <w:szCs w:val="24"/>
      <w:u w:val="none"/>
      <w:lang w:val="en-US" w:eastAsia="en-US"/>
    </w:rPr>
  </w:style>
  <w:style w:type="paragraph" w:styleId="Heading6">
    <w:name w:val="heading 6"/>
    <w:basedOn w:val="Normal"/>
    <w:next w:val="Normal"/>
    <w:link w:val="Heading6Char"/>
    <w:uiPriority w:val="9"/>
    <w:semiHidden/>
    <w:unhideWhenUsed/>
    <w:qFormat/>
    <w:rsid w:val="00983555"/>
    <w:pPr>
      <w:keepNext/>
      <w:keepLines/>
      <w:spacing w:before="40" w:after="0" w:line="259" w:lineRule="auto"/>
      <w:outlineLvl w:val="5"/>
    </w:pPr>
    <w:rPr>
      <w:rFonts w:ascii="Times New Roman" w:hAnsi="Times New Roman" w:eastAsia="Times New Roman" w:cs="Times New Roman"/>
      <w:b/>
      <w:bCs w:val="1"/>
      <w:i/>
      <w:iCs/>
      <w:color w:val="000000"/>
      <w:sz w:val="24"/>
      <w:szCs w:val="24"/>
      <w:u w:val="none"/>
      <w:lang w:val="en-US" w:eastAsia="en-US"/>
    </w:rPr>
  </w:style>
  <w:style w:type="paragraph" w:styleId="Heading7">
    <w:name w:val="heading 7"/>
    <w:basedOn w:val="Normal"/>
    <w:next w:val="Normal"/>
    <w:link w:val="Heading7Char"/>
    <w:uiPriority w:val="9"/>
    <w:semiHidden/>
    <w:unhideWhenUsed/>
    <w:qFormat/>
    <w:rsid w:val="00983555"/>
    <w:pPr>
      <w:keepNext/>
      <w:keepLines/>
      <w:spacing w:before="40" w:after="0" w:line="259" w:lineRule="auto"/>
      <w:outlineLvl w:val="6"/>
    </w:pPr>
    <w:rPr>
      <w:rFonts w:ascii="Times New Roman" w:hAnsi="Times New Roman" w:eastAsia="Times New Roman" w:cs="Times New Roman"/>
      <w:b/>
      <w:bCs w:val="1"/>
      <w:color w:val="000000"/>
      <w:sz w:val="24"/>
      <w:szCs w:val="24"/>
      <w:u w:val="none"/>
      <w:lang w:val="en-US" w:eastAsia="en-US"/>
    </w:rPr>
  </w:style>
  <w:style w:type="paragraph" w:styleId="Heading8">
    <w:name w:val="heading 8"/>
    <w:basedOn w:val="Normal"/>
    <w:next w:val="Normal"/>
    <w:link w:val="Heading8Char"/>
    <w:uiPriority w:val="9"/>
    <w:semiHidden/>
    <w:unhideWhenUsed/>
    <w:qFormat/>
    <w:rsid w:val="00983555"/>
    <w:pPr>
      <w:keepNext/>
      <w:keepLines/>
      <w:spacing w:after="0" w:line="259" w:lineRule="auto"/>
      <w:outlineLvl w:val="7"/>
    </w:pPr>
    <w:rPr>
      <w:rFonts w:ascii="Times New Roman" w:hAnsi="Times New Roman" w:eastAsia="Times New Roman" w:cs="Times New Roman"/>
      <w:b/>
      <w:bCs w:val="1"/>
      <w:i/>
      <w:iCs/>
      <w:color w:val="000000"/>
      <w:sz w:val="24"/>
      <w:szCs w:val="24"/>
      <w:u w:val="none"/>
      <w:lang w:val="en-US" w:eastAsia="en-US"/>
    </w:rPr>
  </w:style>
  <w:style w:type="paragraph" w:styleId="Heading9">
    <w:name w:val="heading 9"/>
    <w:basedOn w:val="Normal"/>
    <w:next w:val="Normal"/>
    <w:link w:val="Heading9Char"/>
    <w:uiPriority w:val="9"/>
    <w:semiHidden/>
    <w:unhideWhenUsed/>
    <w:qFormat/>
    <w:rsid w:val="00983555"/>
    <w:pPr>
      <w:keepNext/>
      <w:keepLines/>
      <w:spacing w:after="0" w:line="259" w:lineRule="auto"/>
      <w:outlineLvl w:val="8"/>
    </w:pPr>
    <w:rPr>
      <w:rFonts w:ascii="Times New Roman" w:hAnsi="Times New Roman" w:eastAsia="Times New Roman" w:cs="Times New Roman"/>
      <w:b/>
      <w:bCs w:val="1"/>
      <w:color w:val="000000"/>
      <w:sz w:val="24"/>
      <w:szCs w:val="24"/>
      <w:u w:val="none"/>
      <w:lang w:val="en-US" w:eastAsia="en-US"/>
    </w:rPr>
  </w:style>
  <w:style w:type="character" w:default="1" w:styleId="DefaultParagraphFont">
    <w:name w:val="Default Paragraph Font"/>
    <w:uiPriority w:val="1"/>
    <w:unhideWhenUsed/>
    <w:rPr>
      <w:rFonts w:ascii="Times New Roman" w:hAnsi="Times New Roman" w:eastAsia="Times New Roman" w:cs="Times New Roman"/>
      <w:color w:val="000000"/>
      <w:sz w:val="24"/>
      <w:szCs w:val="24"/>
    </w:rPr>
  </w:style>
  <w:style w:type="table" w:default="1" w:styleId="TableNormal">
    <w:name w:val="Normal Table"/>
    <w:uiPriority w:val="99"/>
    <w:semiHidden/>
    <w:unhideWhenUsed/>
    <w:rPr>
      <w:rFonts w:ascii="Times New Roman" w:hAnsi="Times New Roman" w:eastAsia="Times New Roman" w:cs="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555"/>
    <w:rPr>
      <w:rFonts w:ascii="Times New Roman" w:hAnsi="Times New Roman" w:eastAsia="Times New Roman" w:cs="Times New Roman"/>
      <w:b/>
      <w:bCs w:val="1"/>
      <w:color w:val="000000"/>
      <w:sz w:val="24"/>
      <w:szCs w:val="24"/>
      <w:u w:val="none"/>
    </w:rPr>
  </w:style>
  <w:style w:type="character" w:customStyle="1" w:styleId="Heading2Char">
    <w:name w:val="Heading 2 Char"/>
    <w:basedOn w:val="DefaultParagraphFont"/>
    <w:link w:val="Heading2"/>
    <w:uiPriority w:val="9"/>
    <w:semiHidden/>
    <w:rsid w:val="00983555"/>
    <w:rPr>
      <w:rFonts w:ascii="Times New Roman" w:hAnsi="Times New Roman" w:eastAsia="Times New Roman" w:cs="Times New Roman"/>
      <w:b/>
      <w:bCs w:val="1"/>
      <w:color w:val="000000"/>
      <w:sz w:val="24"/>
      <w:szCs w:val="24"/>
      <w:u w:val="none"/>
    </w:rPr>
  </w:style>
  <w:style w:type="character" w:customStyle="1" w:styleId="Heading3Char">
    <w:name w:val="Heading 3 Char"/>
    <w:basedOn w:val="DefaultParagraphFont"/>
    <w:link w:val="Heading3"/>
    <w:uiPriority w:val="9"/>
    <w:semiHidden/>
    <w:rsid w:val="00983555"/>
    <w:rPr>
      <w:rFonts w:ascii="Times New Roman" w:hAnsi="Times New Roman" w:eastAsia="Times New Roman" w:cs="Times New Roman"/>
      <w:b/>
      <w:bCs w:val="1"/>
      <w:color w:val="000000"/>
      <w:sz w:val="24"/>
      <w:szCs w:val="24"/>
      <w:u w:val="none"/>
    </w:rPr>
  </w:style>
  <w:style w:type="character" w:customStyle="1" w:styleId="Heading4Char">
    <w:name w:val="Heading 4 Char"/>
    <w:basedOn w:val="DefaultParagraphFont"/>
    <w:link w:val="Heading4"/>
    <w:uiPriority w:val="9"/>
    <w:semiHidden/>
    <w:rsid w:val="00983555"/>
    <w:rPr>
      <w:rFonts w:ascii="Times New Roman" w:hAnsi="Times New Roman" w:eastAsia="Times New Roman" w:cs="Times New Roman"/>
      <w:b/>
      <w:bCs w:val="1"/>
      <w:i/>
      <w:iCs/>
      <w:color w:val="000000"/>
      <w:sz w:val="24"/>
      <w:szCs w:val="24"/>
      <w:u w:val="none"/>
    </w:rPr>
  </w:style>
  <w:style w:type="character" w:customStyle="1" w:styleId="Heading5Char">
    <w:name w:val="Heading 5 Char"/>
    <w:basedOn w:val="DefaultParagraphFont"/>
    <w:link w:val="Heading5"/>
    <w:uiPriority w:val="9"/>
    <w:semiHidden/>
    <w:rsid w:val="00983555"/>
    <w:rPr>
      <w:rFonts w:ascii="Times New Roman" w:hAnsi="Times New Roman" w:eastAsia="Times New Roman" w:cs="Times New Roman"/>
      <w:b/>
      <w:bCs w:val="1"/>
      <w:color w:val="000000"/>
      <w:sz w:val="24"/>
      <w:szCs w:val="24"/>
      <w:u w:val="none"/>
    </w:rPr>
  </w:style>
  <w:style w:type="character" w:customStyle="1" w:styleId="Heading6Char">
    <w:name w:val="Heading 6 Char"/>
    <w:basedOn w:val="DefaultParagraphFont"/>
    <w:link w:val="Heading6"/>
    <w:uiPriority w:val="9"/>
    <w:semiHidden/>
    <w:rsid w:val="00983555"/>
    <w:rPr>
      <w:rFonts w:ascii="Times New Roman" w:hAnsi="Times New Roman" w:eastAsia="Times New Roman" w:cs="Times New Roman"/>
      <w:b/>
      <w:bCs w:val="1"/>
      <w:i/>
      <w:iCs/>
      <w:color w:val="000000"/>
      <w:sz w:val="24"/>
      <w:szCs w:val="24"/>
      <w:u w:val="none"/>
    </w:rPr>
  </w:style>
  <w:style w:type="character" w:customStyle="1" w:styleId="Heading7Char">
    <w:name w:val="Heading 7 Char"/>
    <w:basedOn w:val="DefaultParagraphFont"/>
    <w:link w:val="Heading7"/>
    <w:uiPriority w:val="9"/>
    <w:semiHidden/>
    <w:rsid w:val="00983555"/>
    <w:rPr>
      <w:rFonts w:ascii="Times New Roman" w:hAnsi="Times New Roman" w:eastAsia="Times New Roman" w:cs="Times New Roman"/>
      <w:b/>
      <w:bCs w:val="1"/>
      <w:color w:val="000000"/>
      <w:sz w:val="24"/>
      <w:szCs w:val="24"/>
      <w:u w:val="none"/>
    </w:rPr>
  </w:style>
  <w:style w:type="character" w:customStyle="1" w:styleId="Heading8Char">
    <w:name w:val="Heading 8 Char"/>
    <w:basedOn w:val="DefaultParagraphFont"/>
    <w:link w:val="Heading8"/>
    <w:uiPriority w:val="9"/>
    <w:semiHidden/>
    <w:rsid w:val="00983555"/>
    <w:rPr>
      <w:rFonts w:ascii="Times New Roman" w:hAnsi="Times New Roman" w:eastAsia="Times New Roman" w:cs="Times New Roman"/>
      <w:b/>
      <w:bCs w:val="1"/>
      <w:i/>
      <w:iCs/>
      <w:color w:val="000000"/>
      <w:sz w:val="24"/>
      <w:szCs w:val="24"/>
      <w:u w:val="none"/>
    </w:rPr>
  </w:style>
  <w:style w:type="character" w:customStyle="1" w:styleId="Heading9Char">
    <w:name w:val="Heading 9 Char"/>
    <w:basedOn w:val="DefaultParagraphFont"/>
    <w:link w:val="Heading9"/>
    <w:uiPriority w:val="9"/>
    <w:semiHidden/>
    <w:rsid w:val="00983555"/>
    <w:rPr>
      <w:rFonts w:ascii="Times New Roman" w:hAnsi="Times New Roman" w:eastAsia="Times New Roman" w:cs="Times New Roman"/>
      <w:b/>
      <w:bCs w:val="1"/>
      <w:color w:val="000000"/>
      <w:sz w:val="24"/>
      <w:szCs w:val="24"/>
      <w:u w:val="none"/>
    </w:rPr>
  </w:style>
  <w:style w:type="paragraph" w:styleId="Title">
    <w:name w:val="Title"/>
    <w:basedOn w:val="Normal"/>
    <w:next w:val="Normal"/>
    <w:link w:val="TitleChar"/>
    <w:uiPriority w:val="10"/>
    <w:qFormat/>
    <w:rsid w:val="00983555"/>
    <w:pPr>
      <w:keepNext/>
      <w:spacing w:after="80" w:line="240" w:lineRule="auto"/>
      <w:contextualSpacing/>
    </w:pPr>
    <w:rPr>
      <w:rFonts w:ascii="Times New Roman" w:hAnsi="Times New Roman" w:eastAsia="Times New Roman" w:cs="Times New Roman"/>
      <w:b/>
      <w:bCs w:val="1"/>
      <w:color w:val="000000"/>
      <w:spacing w:val="-10"/>
      <w:kern w:val="28"/>
      <w:sz w:val="24"/>
      <w:szCs w:val="24"/>
      <w:u w:val="none"/>
      <w:lang w:val="en-US" w:eastAsia="en-US"/>
    </w:rPr>
  </w:style>
  <w:style w:type="character" w:customStyle="1" w:styleId="TitleChar">
    <w:name w:val="Title Char"/>
    <w:basedOn w:val="DefaultParagraphFont"/>
    <w:link w:val="Title"/>
    <w:uiPriority w:val="10"/>
    <w:rsid w:val="00983555"/>
    <w:rPr>
      <w:rFonts w:ascii="Times New Roman" w:hAnsi="Times New Roman" w:eastAsia="Times New Roman" w:cs="Times New Roman"/>
      <w:b/>
      <w:bCs w:val="1"/>
      <w:color w:val="000000"/>
      <w:spacing w:val="-10"/>
      <w:kern w:val="28"/>
      <w:sz w:val="24"/>
      <w:szCs w:val="24"/>
      <w:u w:val="none"/>
    </w:rPr>
  </w:style>
  <w:style w:type="paragraph" w:styleId="Subtitle">
    <w:name w:val="Subtitle"/>
    <w:basedOn w:val="Normal"/>
    <w:next w:val="Normal"/>
    <w:link w:val="SubtitleChar"/>
    <w:uiPriority w:val="11"/>
    <w:qFormat/>
    <w:rsid w:val="00983555"/>
    <w:pPr>
      <w:keepNext/>
      <w:numPr>
        <w:ilvl w:val="1"/>
      </w:numPr>
      <w:spacing w:line="259" w:lineRule="auto"/>
    </w:pPr>
    <w:rPr>
      <w:rFonts w:ascii="Times New Roman" w:hAnsi="Times New Roman" w:eastAsia="Times New Roman" w:cs="Times New Roman"/>
      <w:b/>
      <w:bCs w:val="1"/>
      <w:color w:val="000000"/>
      <w:spacing w:val="15"/>
      <w:sz w:val="24"/>
      <w:szCs w:val="24"/>
      <w:u w:val="none"/>
      <w:lang w:val="en-US" w:eastAsia="en-US"/>
    </w:rPr>
  </w:style>
  <w:style w:type="character" w:customStyle="1" w:styleId="SubtitleChar">
    <w:name w:val="Subtitle Char"/>
    <w:basedOn w:val="DefaultParagraphFont"/>
    <w:link w:val="Subtitle"/>
    <w:uiPriority w:val="11"/>
    <w:rsid w:val="00983555"/>
    <w:rPr>
      <w:rFonts w:ascii="Times New Roman" w:hAnsi="Times New Roman" w:eastAsia="Times New Roman" w:cs="Times New Roman"/>
      <w:b/>
      <w:bCs w:val="1"/>
      <w:color w:val="000000"/>
      <w:spacing w:val="15"/>
      <w:sz w:val="24"/>
      <w:szCs w:val="24"/>
      <w:u w:val="none"/>
    </w:rPr>
  </w:style>
  <w:style w:type="paragraph" w:styleId="Quote">
    <w:name w:val="Quote"/>
    <w:basedOn w:val="Normal"/>
    <w:next w:val="Normal"/>
    <w:link w:val="QuoteChar"/>
    <w:uiPriority w:val="29"/>
    <w:qFormat/>
    <w:rsid w:val="00983555"/>
    <w:pPr>
      <w:spacing w:before="160" w:line="259" w:lineRule="auto"/>
      <w:jc w:val="center"/>
    </w:pPr>
    <w:rPr>
      <w:rFonts w:ascii="Times New Roman" w:hAnsi="Times New Roman" w:eastAsia="Times New Roman" w:cs="Times New Roman"/>
      <w:i/>
      <w:iCs/>
      <w:color w:val="000000"/>
      <w:sz w:val="24"/>
      <w:szCs w:val="24"/>
      <w:lang w:val="en-US" w:eastAsia="en-US"/>
    </w:rPr>
  </w:style>
  <w:style w:type="character" w:customStyle="1" w:styleId="QuoteChar">
    <w:name w:val="Quote Char"/>
    <w:basedOn w:val="DefaultParagraphFont"/>
    <w:link w:val="Quote"/>
    <w:uiPriority w:val="29"/>
    <w:rsid w:val="00983555"/>
    <w:rPr>
      <w:rFonts w:ascii="Times New Roman" w:hAnsi="Times New Roman" w:eastAsia="Times New Roman" w:cs="Times New Roman"/>
      <w:i/>
      <w:iCs/>
      <w:color w:val="000000"/>
      <w:sz w:val="24"/>
      <w:szCs w:val="24"/>
    </w:rPr>
  </w:style>
  <w:style w:type="paragraph" w:styleId="ListParagraph">
    <w:name w:val="List Paragraph"/>
    <w:basedOn w:val="Normal"/>
    <w:uiPriority w:val="34"/>
    <w:qFormat/>
    <w:rsid w:val="00983555"/>
    <w:pPr>
      <w:spacing w:line="259" w:lineRule="auto"/>
      <w:ind w:left="720"/>
      <w:contextualSpacing/>
    </w:pPr>
    <w:rPr>
      <w:rFonts w:ascii="Times New Roman" w:hAnsi="Times New Roman" w:eastAsia="Times New Roman" w:cs="Times New Roman"/>
      <w:color w:val="000000"/>
      <w:sz w:val="24"/>
      <w:szCs w:val="24"/>
      <w:lang w:val="en-US" w:eastAsia="en-US"/>
    </w:rPr>
  </w:style>
  <w:style w:type="character" w:styleId="IntenseEmphasis">
    <w:name w:val="Intense Emphasis"/>
    <w:basedOn w:val="DefaultParagraphFont"/>
    <w:uiPriority w:val="21"/>
    <w:qFormat/>
    <w:rsid w:val="00983555"/>
    <w:rPr>
      <w:rFonts w:ascii="Times New Roman" w:hAnsi="Times New Roman" w:eastAsia="Times New Roman" w:cs="Times New Roman"/>
      <w:i/>
      <w:iCs/>
      <w:color w:val="000000"/>
      <w:sz w:val="24"/>
      <w:szCs w:val="24"/>
    </w:rPr>
  </w:style>
  <w:style w:type="paragraph" w:styleId="IntenseQuote">
    <w:name w:val="Intense Quote"/>
    <w:basedOn w:val="Normal"/>
    <w:next w:val="Normal"/>
    <w:link w:val="IntenseQuoteChar"/>
    <w:uiPriority w:val="30"/>
    <w:qFormat/>
    <w:rsid w:val="00983555"/>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imes New Roman" w:hAnsi="Times New Roman" w:eastAsia="Times New Roman" w:cs="Times New Roman"/>
      <w:i/>
      <w:iCs/>
      <w:color w:val="000000"/>
      <w:sz w:val="24"/>
      <w:szCs w:val="24"/>
      <w:lang w:val="en-US" w:eastAsia="en-US"/>
    </w:rPr>
  </w:style>
  <w:style w:type="character" w:customStyle="1" w:styleId="IntenseQuoteChar">
    <w:name w:val="Intense Quote Char"/>
    <w:basedOn w:val="DefaultParagraphFont"/>
    <w:link w:val="IntenseQuote"/>
    <w:uiPriority w:val="30"/>
    <w:rsid w:val="00983555"/>
    <w:rPr>
      <w:rFonts w:ascii="Times New Roman" w:hAnsi="Times New Roman" w:eastAsia="Times New Roman" w:cs="Times New Roman"/>
      <w:i/>
      <w:iCs/>
      <w:color w:val="000000"/>
      <w:sz w:val="24"/>
      <w:szCs w:val="24"/>
    </w:rPr>
  </w:style>
  <w:style w:type="character" w:styleId="IntenseReference">
    <w:name w:val="Intense Reference"/>
    <w:basedOn w:val="DefaultParagraphFont"/>
    <w:uiPriority w:val="32"/>
    <w:qFormat/>
    <w:rsid w:val="00983555"/>
    <w:rPr>
      <w:rFonts w:ascii="Times New Roman" w:hAnsi="Times New Roman" w:eastAsia="Times New Roman" w:cs="Times New Roman"/>
      <w:b/>
      <w:bCs/>
      <w:smallCaps/>
      <w:color w:val="000000"/>
      <w:spacing w:val="5"/>
      <w:sz w:val="24"/>
      <w:szCs w:val="24"/>
    </w:rPr>
  </w:style>
  <w:style w:type="character" w:styleId="Hyperlink">
    <w:name w:val="Hyperlink"/>
    <w:basedOn w:val="DefaultParagraphFont"/>
    <w:uiPriority w:val="99"/>
    <w:unhideWhenUsed/>
    <w:rsid w:val="00983555"/>
    <w:rPr>
      <w:rFonts w:ascii="Times New Roman" w:hAnsi="Times New Roman" w:eastAsia="Times New Roman" w:cs="Times New Roman"/>
      <w:color w:val="000000"/>
      <w:sz w:val="24"/>
      <w:szCs w:val="24"/>
      <w:u w:val="single"/>
    </w:rPr>
  </w:style>
  <w:style w:type="table" w:styleId="TableGrid">
    <w:name w:val="Table Grid"/>
    <w:basedOn w:val="TableNormal"/>
    <w:uiPriority w:val="39"/>
    <w:rsid w:val="00916D42"/>
    <w:pPr>
      <w:spacing w:after="0" w:line="240" w:lineRule="auto"/>
    </w:pPr>
    <w:rPr>
      <w:rFonts w:ascii="Times New Roman" w:hAnsi="Times New Roman" w:eastAsia="Times New Roman" w:cs="Times New Roman"/>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pPr>
      <w:spacing w:after="120" w:line="240" w:lineRule="auto"/>
      <w:jc w:val="both"/>
    </w:pPr>
    <w:rPr>
      <w:rFonts w:ascii="Times New Roman" w:hAnsi="Times New Roman" w:eastAsia="Times New Roman" w:cs="Times New Roman"/>
      <w:color w:val="000000"/>
      <w:sz w:val="24"/>
      <w:szCs w:val="24"/>
    </w:rPr>
  </w:style>
  <w:style w:type="paragraph" w:customStyle="1" w:styleId="Caption">
    <w:name w:val="caption"/>
    <w:pPr>
      <w:spacing w:line="240" w:lineRule="auto"/>
    </w:pPr>
    <w:rPr>
      <w:rFonts w:ascii="Times New Roman" w:hAnsi="Times New Roman"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7408">
      <w:bodyDiv w:val="1"/>
      <w:marLeft w:val="0"/>
      <w:marRight w:val="0"/>
      <w:marTop w:val="0"/>
      <w:marBottom w:val="0"/>
      <w:divBdr>
        <w:top w:val="none" w:sz="0" w:space="0" w:color="auto"/>
        <w:left w:val="none" w:sz="0" w:space="0" w:color="auto"/>
        <w:bottom w:val="none" w:sz="0" w:space="0" w:color="auto"/>
        <w:right w:val="none" w:sz="0" w:space="0" w:color="auto"/>
      </w:divBdr>
      <w:divsChild>
        <w:div w:id="525598781">
          <w:marLeft w:val="0"/>
          <w:marRight w:val="0"/>
          <w:marTop w:val="360"/>
          <w:marBottom w:val="180"/>
          <w:divBdr>
            <w:top w:val="none" w:sz="0" w:space="0" w:color="auto"/>
            <w:left w:val="none" w:sz="0" w:space="0" w:color="auto"/>
            <w:bottom w:val="none" w:sz="0" w:space="0" w:color="auto"/>
            <w:right w:val="none" w:sz="0" w:space="0" w:color="auto"/>
          </w:divBdr>
        </w:div>
        <w:div w:id="975452942">
          <w:marLeft w:val="0"/>
          <w:marRight w:val="0"/>
          <w:marTop w:val="180"/>
          <w:marBottom w:val="240"/>
          <w:divBdr>
            <w:top w:val="none" w:sz="0" w:space="0" w:color="auto"/>
            <w:left w:val="none" w:sz="0" w:space="0" w:color="auto"/>
            <w:bottom w:val="none" w:sz="0" w:space="0" w:color="auto"/>
            <w:right w:val="none" w:sz="0" w:space="0" w:color="auto"/>
          </w:divBdr>
        </w:div>
        <w:div w:id="742920534">
          <w:marLeft w:val="0"/>
          <w:marRight w:val="0"/>
          <w:marTop w:val="360"/>
          <w:marBottom w:val="180"/>
          <w:divBdr>
            <w:top w:val="none" w:sz="0" w:space="0" w:color="auto"/>
            <w:left w:val="none" w:sz="0" w:space="0" w:color="auto"/>
            <w:bottom w:val="none" w:sz="0" w:space="0" w:color="auto"/>
            <w:right w:val="none" w:sz="0" w:space="0" w:color="auto"/>
          </w:divBdr>
        </w:div>
        <w:div w:id="743718413">
          <w:marLeft w:val="0"/>
          <w:marRight w:val="0"/>
          <w:marTop w:val="60"/>
          <w:marBottom w:val="180"/>
          <w:divBdr>
            <w:top w:val="none" w:sz="0" w:space="0" w:color="auto"/>
            <w:left w:val="none" w:sz="0" w:space="0" w:color="auto"/>
            <w:bottom w:val="none" w:sz="0" w:space="0" w:color="auto"/>
            <w:right w:val="none" w:sz="0" w:space="0" w:color="auto"/>
          </w:divBdr>
        </w:div>
      </w:divsChild>
    </w:div>
    <w:div w:id="201674667">
      <w:bodyDiv w:val="1"/>
      <w:marLeft w:val="0"/>
      <w:marRight w:val="0"/>
      <w:marTop w:val="0"/>
      <w:marBottom w:val="0"/>
      <w:divBdr>
        <w:top w:val="none" w:sz="0" w:space="0" w:color="auto"/>
        <w:left w:val="none" w:sz="0" w:space="0" w:color="auto"/>
        <w:bottom w:val="none" w:sz="0" w:space="0" w:color="auto"/>
        <w:right w:val="none" w:sz="0" w:space="0" w:color="auto"/>
      </w:divBdr>
    </w:div>
    <w:div w:id="350567954">
      <w:bodyDiv w:val="1"/>
      <w:marLeft w:val="0"/>
      <w:marRight w:val="0"/>
      <w:marTop w:val="0"/>
      <w:marBottom w:val="0"/>
      <w:divBdr>
        <w:top w:val="none" w:sz="0" w:space="0" w:color="auto"/>
        <w:left w:val="none" w:sz="0" w:space="0" w:color="auto"/>
        <w:bottom w:val="none" w:sz="0" w:space="0" w:color="auto"/>
        <w:right w:val="none" w:sz="0" w:space="0" w:color="auto"/>
      </w:divBdr>
    </w:div>
    <w:div w:id="552808820">
      <w:bodyDiv w:val="1"/>
      <w:marLeft w:val="0"/>
      <w:marRight w:val="0"/>
      <w:marTop w:val="0"/>
      <w:marBottom w:val="0"/>
      <w:divBdr>
        <w:top w:val="none" w:sz="0" w:space="0" w:color="auto"/>
        <w:left w:val="none" w:sz="0" w:space="0" w:color="auto"/>
        <w:bottom w:val="none" w:sz="0" w:space="0" w:color="auto"/>
        <w:right w:val="none" w:sz="0" w:space="0" w:color="auto"/>
      </w:divBdr>
    </w:div>
    <w:div w:id="821582948">
      <w:bodyDiv w:val="1"/>
      <w:marLeft w:val="0"/>
      <w:marRight w:val="0"/>
      <w:marTop w:val="0"/>
      <w:marBottom w:val="0"/>
      <w:divBdr>
        <w:top w:val="none" w:sz="0" w:space="0" w:color="auto"/>
        <w:left w:val="none" w:sz="0" w:space="0" w:color="auto"/>
        <w:bottom w:val="none" w:sz="0" w:space="0" w:color="auto"/>
        <w:right w:val="none" w:sz="0" w:space="0" w:color="auto"/>
      </w:divBdr>
    </w:div>
    <w:div w:id="983002569">
      <w:bodyDiv w:val="1"/>
      <w:marLeft w:val="0"/>
      <w:marRight w:val="0"/>
      <w:marTop w:val="0"/>
      <w:marBottom w:val="0"/>
      <w:divBdr>
        <w:top w:val="none" w:sz="0" w:space="0" w:color="auto"/>
        <w:left w:val="none" w:sz="0" w:space="0" w:color="auto"/>
        <w:bottom w:val="none" w:sz="0" w:space="0" w:color="auto"/>
        <w:right w:val="none" w:sz="0" w:space="0" w:color="auto"/>
      </w:divBdr>
      <w:divsChild>
        <w:div w:id="729310595">
          <w:marLeft w:val="0"/>
          <w:marRight w:val="0"/>
          <w:marTop w:val="0"/>
          <w:marBottom w:val="0"/>
          <w:divBdr>
            <w:top w:val="none" w:sz="0" w:space="0" w:color="auto"/>
            <w:left w:val="none" w:sz="0" w:space="0" w:color="auto"/>
            <w:bottom w:val="none" w:sz="0" w:space="0" w:color="auto"/>
            <w:right w:val="none" w:sz="0" w:space="0" w:color="auto"/>
          </w:divBdr>
          <w:divsChild>
            <w:div w:id="578642138">
              <w:marLeft w:val="0"/>
              <w:marRight w:val="0"/>
              <w:marTop w:val="0"/>
              <w:marBottom w:val="0"/>
              <w:divBdr>
                <w:top w:val="none" w:sz="0" w:space="0" w:color="auto"/>
                <w:left w:val="none" w:sz="0" w:space="0" w:color="auto"/>
                <w:bottom w:val="none" w:sz="0" w:space="0" w:color="auto"/>
                <w:right w:val="none" w:sz="0" w:space="0" w:color="auto"/>
              </w:divBdr>
            </w:div>
          </w:divsChild>
        </w:div>
        <w:div w:id="1821728586">
          <w:marLeft w:val="0"/>
          <w:marRight w:val="0"/>
          <w:marTop w:val="0"/>
          <w:marBottom w:val="0"/>
          <w:divBdr>
            <w:top w:val="none" w:sz="0" w:space="0" w:color="auto"/>
            <w:left w:val="none" w:sz="0" w:space="0" w:color="auto"/>
            <w:bottom w:val="none" w:sz="0" w:space="0" w:color="auto"/>
            <w:right w:val="none" w:sz="0" w:space="0" w:color="auto"/>
          </w:divBdr>
          <w:divsChild>
            <w:div w:id="15644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18471">
      <w:bodyDiv w:val="1"/>
      <w:marLeft w:val="0"/>
      <w:marRight w:val="0"/>
      <w:marTop w:val="0"/>
      <w:marBottom w:val="0"/>
      <w:divBdr>
        <w:top w:val="none" w:sz="0" w:space="0" w:color="auto"/>
        <w:left w:val="none" w:sz="0" w:space="0" w:color="auto"/>
        <w:bottom w:val="none" w:sz="0" w:space="0" w:color="auto"/>
        <w:right w:val="none" w:sz="0" w:space="0" w:color="auto"/>
      </w:divBdr>
    </w:div>
    <w:div w:id="1035738106">
      <w:bodyDiv w:val="1"/>
      <w:marLeft w:val="0"/>
      <w:marRight w:val="0"/>
      <w:marTop w:val="0"/>
      <w:marBottom w:val="0"/>
      <w:divBdr>
        <w:top w:val="none" w:sz="0" w:space="0" w:color="auto"/>
        <w:left w:val="none" w:sz="0" w:space="0" w:color="auto"/>
        <w:bottom w:val="none" w:sz="0" w:space="0" w:color="auto"/>
        <w:right w:val="none" w:sz="0" w:space="0" w:color="auto"/>
      </w:divBdr>
      <w:divsChild>
        <w:div w:id="1070226164">
          <w:marLeft w:val="0"/>
          <w:marRight w:val="0"/>
          <w:marTop w:val="360"/>
          <w:marBottom w:val="180"/>
          <w:divBdr>
            <w:top w:val="none" w:sz="0" w:space="0" w:color="auto"/>
            <w:left w:val="none" w:sz="0" w:space="0" w:color="auto"/>
            <w:bottom w:val="none" w:sz="0" w:space="0" w:color="auto"/>
            <w:right w:val="none" w:sz="0" w:space="0" w:color="auto"/>
          </w:divBdr>
        </w:div>
        <w:div w:id="1464810009">
          <w:marLeft w:val="0"/>
          <w:marRight w:val="0"/>
          <w:marTop w:val="180"/>
          <w:marBottom w:val="240"/>
          <w:divBdr>
            <w:top w:val="none" w:sz="0" w:space="0" w:color="auto"/>
            <w:left w:val="none" w:sz="0" w:space="0" w:color="auto"/>
            <w:bottom w:val="none" w:sz="0" w:space="0" w:color="auto"/>
            <w:right w:val="none" w:sz="0" w:space="0" w:color="auto"/>
          </w:divBdr>
        </w:div>
        <w:div w:id="1797337644">
          <w:marLeft w:val="0"/>
          <w:marRight w:val="0"/>
          <w:marTop w:val="360"/>
          <w:marBottom w:val="180"/>
          <w:divBdr>
            <w:top w:val="none" w:sz="0" w:space="0" w:color="auto"/>
            <w:left w:val="none" w:sz="0" w:space="0" w:color="auto"/>
            <w:bottom w:val="none" w:sz="0" w:space="0" w:color="auto"/>
            <w:right w:val="none" w:sz="0" w:space="0" w:color="auto"/>
          </w:divBdr>
        </w:div>
        <w:div w:id="1108888549">
          <w:marLeft w:val="0"/>
          <w:marRight w:val="0"/>
          <w:marTop w:val="60"/>
          <w:marBottom w:val="180"/>
          <w:divBdr>
            <w:top w:val="none" w:sz="0" w:space="0" w:color="auto"/>
            <w:left w:val="none" w:sz="0" w:space="0" w:color="auto"/>
            <w:bottom w:val="none" w:sz="0" w:space="0" w:color="auto"/>
            <w:right w:val="none" w:sz="0" w:space="0" w:color="auto"/>
          </w:divBdr>
        </w:div>
      </w:divsChild>
    </w:div>
    <w:div w:id="1123965662">
      <w:bodyDiv w:val="1"/>
      <w:marLeft w:val="0"/>
      <w:marRight w:val="0"/>
      <w:marTop w:val="0"/>
      <w:marBottom w:val="0"/>
      <w:divBdr>
        <w:top w:val="none" w:sz="0" w:space="0" w:color="auto"/>
        <w:left w:val="none" w:sz="0" w:space="0" w:color="auto"/>
        <w:bottom w:val="none" w:sz="0" w:space="0" w:color="auto"/>
        <w:right w:val="none" w:sz="0" w:space="0" w:color="auto"/>
      </w:divBdr>
    </w:div>
    <w:div w:id="1154684843">
      <w:bodyDiv w:val="1"/>
      <w:marLeft w:val="0"/>
      <w:marRight w:val="0"/>
      <w:marTop w:val="0"/>
      <w:marBottom w:val="0"/>
      <w:divBdr>
        <w:top w:val="none" w:sz="0" w:space="0" w:color="auto"/>
        <w:left w:val="none" w:sz="0" w:space="0" w:color="auto"/>
        <w:bottom w:val="none" w:sz="0" w:space="0" w:color="auto"/>
        <w:right w:val="none" w:sz="0" w:space="0" w:color="auto"/>
      </w:divBdr>
    </w:div>
    <w:div w:id="1186021259">
      <w:bodyDiv w:val="1"/>
      <w:marLeft w:val="0"/>
      <w:marRight w:val="0"/>
      <w:marTop w:val="0"/>
      <w:marBottom w:val="0"/>
      <w:divBdr>
        <w:top w:val="none" w:sz="0" w:space="0" w:color="auto"/>
        <w:left w:val="none" w:sz="0" w:space="0" w:color="auto"/>
        <w:bottom w:val="none" w:sz="0" w:space="0" w:color="auto"/>
        <w:right w:val="none" w:sz="0" w:space="0" w:color="auto"/>
      </w:divBdr>
    </w:div>
    <w:div w:id="1750152544">
      <w:bodyDiv w:val="1"/>
      <w:marLeft w:val="0"/>
      <w:marRight w:val="0"/>
      <w:marTop w:val="0"/>
      <w:marBottom w:val="0"/>
      <w:divBdr>
        <w:top w:val="none" w:sz="0" w:space="0" w:color="auto"/>
        <w:left w:val="none" w:sz="0" w:space="0" w:color="auto"/>
        <w:bottom w:val="none" w:sz="0" w:space="0" w:color="auto"/>
        <w:right w:val="none" w:sz="0" w:space="0" w:color="auto"/>
      </w:divBdr>
      <w:divsChild>
        <w:div w:id="439493241">
          <w:marLeft w:val="0"/>
          <w:marRight w:val="0"/>
          <w:marTop w:val="360"/>
          <w:marBottom w:val="180"/>
          <w:divBdr>
            <w:top w:val="none" w:sz="0" w:space="0" w:color="auto"/>
            <w:left w:val="none" w:sz="0" w:space="0" w:color="auto"/>
            <w:bottom w:val="none" w:sz="0" w:space="0" w:color="auto"/>
            <w:right w:val="none" w:sz="0" w:space="0" w:color="auto"/>
          </w:divBdr>
        </w:div>
        <w:div w:id="378093520">
          <w:marLeft w:val="0"/>
          <w:marRight w:val="0"/>
          <w:marTop w:val="180"/>
          <w:marBottom w:val="240"/>
          <w:divBdr>
            <w:top w:val="none" w:sz="0" w:space="0" w:color="auto"/>
            <w:left w:val="none" w:sz="0" w:space="0" w:color="auto"/>
            <w:bottom w:val="none" w:sz="0" w:space="0" w:color="auto"/>
            <w:right w:val="none" w:sz="0" w:space="0" w:color="auto"/>
          </w:divBdr>
        </w:div>
        <w:div w:id="980579498">
          <w:marLeft w:val="0"/>
          <w:marRight w:val="0"/>
          <w:marTop w:val="360"/>
          <w:marBottom w:val="180"/>
          <w:divBdr>
            <w:top w:val="none" w:sz="0" w:space="0" w:color="auto"/>
            <w:left w:val="none" w:sz="0" w:space="0" w:color="auto"/>
            <w:bottom w:val="none" w:sz="0" w:space="0" w:color="auto"/>
            <w:right w:val="none" w:sz="0" w:space="0" w:color="auto"/>
          </w:divBdr>
        </w:div>
        <w:div w:id="560867086">
          <w:marLeft w:val="0"/>
          <w:marRight w:val="0"/>
          <w:marTop w:val="60"/>
          <w:marBottom w:val="180"/>
          <w:divBdr>
            <w:top w:val="none" w:sz="0" w:space="0" w:color="auto"/>
            <w:left w:val="none" w:sz="0" w:space="0" w:color="auto"/>
            <w:bottom w:val="none" w:sz="0" w:space="0" w:color="auto"/>
            <w:right w:val="none" w:sz="0" w:space="0" w:color="auto"/>
          </w:divBdr>
        </w:div>
      </w:divsChild>
    </w:div>
    <w:div w:id="1950314753">
      <w:bodyDiv w:val="1"/>
      <w:marLeft w:val="0"/>
      <w:marRight w:val="0"/>
      <w:marTop w:val="0"/>
      <w:marBottom w:val="0"/>
      <w:divBdr>
        <w:top w:val="none" w:sz="0" w:space="0" w:color="auto"/>
        <w:left w:val="none" w:sz="0" w:space="0" w:color="auto"/>
        <w:bottom w:val="none" w:sz="0" w:space="0" w:color="auto"/>
        <w:right w:val="none" w:sz="0" w:space="0" w:color="auto"/>
      </w:divBdr>
      <w:divsChild>
        <w:div w:id="559173992">
          <w:marLeft w:val="0"/>
          <w:marRight w:val="0"/>
          <w:marTop w:val="360"/>
          <w:marBottom w:val="180"/>
          <w:divBdr>
            <w:top w:val="none" w:sz="0" w:space="0" w:color="auto"/>
            <w:left w:val="none" w:sz="0" w:space="0" w:color="auto"/>
            <w:bottom w:val="none" w:sz="0" w:space="0" w:color="auto"/>
            <w:right w:val="none" w:sz="0" w:space="0" w:color="auto"/>
          </w:divBdr>
        </w:div>
        <w:div w:id="572084638">
          <w:marLeft w:val="0"/>
          <w:marRight w:val="0"/>
          <w:marTop w:val="180"/>
          <w:marBottom w:val="240"/>
          <w:divBdr>
            <w:top w:val="none" w:sz="0" w:space="0" w:color="auto"/>
            <w:left w:val="none" w:sz="0" w:space="0" w:color="auto"/>
            <w:bottom w:val="none" w:sz="0" w:space="0" w:color="auto"/>
            <w:right w:val="none" w:sz="0" w:space="0" w:color="auto"/>
          </w:divBdr>
        </w:div>
        <w:div w:id="1298530923">
          <w:marLeft w:val="0"/>
          <w:marRight w:val="0"/>
          <w:marTop w:val="360"/>
          <w:marBottom w:val="180"/>
          <w:divBdr>
            <w:top w:val="none" w:sz="0" w:space="0" w:color="auto"/>
            <w:left w:val="none" w:sz="0" w:space="0" w:color="auto"/>
            <w:bottom w:val="none" w:sz="0" w:space="0" w:color="auto"/>
            <w:right w:val="none" w:sz="0" w:space="0" w:color="auto"/>
          </w:divBdr>
        </w:div>
        <w:div w:id="1266646752">
          <w:marLeft w:val="0"/>
          <w:marRight w:val="0"/>
          <w:marTop w:val="60"/>
          <w:marBottom w:val="180"/>
          <w:divBdr>
            <w:top w:val="none" w:sz="0" w:space="0" w:color="auto"/>
            <w:left w:val="none" w:sz="0" w:space="0" w:color="auto"/>
            <w:bottom w:val="none" w:sz="0" w:space="0" w:color="auto"/>
            <w:right w:val="none" w:sz="0" w:space="0" w:color="auto"/>
          </w:divBdr>
        </w:div>
      </w:divsChild>
    </w:div>
    <w:div w:id="1951085873">
      <w:bodyDiv w:val="1"/>
      <w:marLeft w:val="0"/>
      <w:marRight w:val="0"/>
      <w:marTop w:val="0"/>
      <w:marBottom w:val="0"/>
      <w:divBdr>
        <w:top w:val="none" w:sz="0" w:space="0" w:color="auto"/>
        <w:left w:val="none" w:sz="0" w:space="0" w:color="auto"/>
        <w:bottom w:val="none" w:sz="0" w:space="0" w:color="auto"/>
        <w:right w:val="none" w:sz="0" w:space="0" w:color="auto"/>
      </w:divBdr>
      <w:divsChild>
        <w:div w:id="974946064">
          <w:marLeft w:val="0"/>
          <w:marRight w:val="0"/>
          <w:marTop w:val="0"/>
          <w:marBottom w:val="0"/>
          <w:divBdr>
            <w:top w:val="none" w:sz="0" w:space="0" w:color="auto"/>
            <w:left w:val="none" w:sz="0" w:space="0" w:color="auto"/>
            <w:bottom w:val="none" w:sz="0" w:space="0" w:color="auto"/>
            <w:right w:val="none" w:sz="0" w:space="0" w:color="auto"/>
          </w:divBdr>
          <w:divsChild>
            <w:div w:id="847184020">
              <w:marLeft w:val="0"/>
              <w:marRight w:val="0"/>
              <w:marTop w:val="0"/>
              <w:marBottom w:val="0"/>
              <w:divBdr>
                <w:top w:val="none" w:sz="0" w:space="0" w:color="auto"/>
                <w:left w:val="none" w:sz="0" w:space="0" w:color="auto"/>
                <w:bottom w:val="none" w:sz="0" w:space="0" w:color="auto"/>
                <w:right w:val="none" w:sz="0" w:space="0" w:color="auto"/>
              </w:divBdr>
            </w:div>
          </w:divsChild>
        </w:div>
        <w:div w:id="1961911526">
          <w:marLeft w:val="0"/>
          <w:marRight w:val="0"/>
          <w:marTop w:val="0"/>
          <w:marBottom w:val="0"/>
          <w:divBdr>
            <w:top w:val="none" w:sz="0" w:space="0" w:color="auto"/>
            <w:left w:val="none" w:sz="0" w:space="0" w:color="auto"/>
            <w:bottom w:val="none" w:sz="0" w:space="0" w:color="auto"/>
            <w:right w:val="none" w:sz="0" w:space="0" w:color="auto"/>
          </w:divBdr>
          <w:divsChild>
            <w:div w:id="2702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18</Pages>
  <Words>6031</Words>
  <Characters>34378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103</cp:revision>
  <dcterms:created xsi:type="dcterms:W3CDTF">2026-08-06T08:19:00Z</dcterms:created>
  <dcterms:modified xsi:type="dcterms:W3CDTF">2026-10-19T07:03:00Z</dcterms:modified>
</cp:coreProperties>
</file>