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spacing w:before="120" w:after="80" w:line="360" w:lineRule="auto"/>
        <w:rPr>
          <w:rFonts w:ascii="Times New Roman" w:hAnsi="Times New Roman" w:eastAsia="Times New Roman" w:cs="Times New Roman"/>
          <w:b w:val="1"/>
          <w:bCs w:val="1"/>
          <w:color w:val="000000"/>
          <w:sz w:val="24"/>
          <w:szCs w:val="24"/>
          <w:u w:val="none"/>
        </w:rPr>
      </w:pPr>
      <w:r>
        <w:rPr>
          <w:rFonts w:ascii="Times New Roman" w:hAnsi="Times New Roman" w:eastAsia="Times New Roman" w:cs="Times New Roman"/>
          <w:b w:val="1"/>
          <w:bCs w:val="1"/>
          <w:color w:val="000000"/>
          <w:sz w:val="24"/>
          <w:szCs w:val="24"/>
          <w:u w:val="none"/>
        </w:rPr>
        <w:t>REFERENCES</w:t>
      </w:r>
    </w:p>
    <w:p>
      <w:pPr>
        <w:keepLines/>
        <w:spacing w:line="360" w:lineRule="auto"/>
        <w:ind w:left="454" w:hanging="454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[1] GSMA, The State of the Industry Report on Mobile Money 2025, 2025. https://www.gsma.com/solutions-and-impact/connectivity-for-good/mobile-for-development/gsma_resources/the-state-of-the-industry-report-on-mobile-money-2025/</w:t>
      </w:r>
    </w:p>
    <w:p>
      <w:pPr>
        <w:keepLines/>
        <w:spacing w:line="360" w:lineRule="auto"/>
        <w:ind w:left="454" w:hanging="454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[2] Reserve Bank of Zimbabwe, National Financial Inclusion Strategy II 2022–2026, 2022. https://www.rbz.co.zw/documents/BLSS/FinancialInclusion/Zimbabwe_National_Financial_Inclusion_Strategy_II_2022-2026.pdf</w:t>
      </w:r>
    </w:p>
    <w:p>
      <w:pPr>
        <w:keepLines/>
        <w:spacing w:line="360" w:lineRule="auto"/>
        <w:ind w:left="454" w:hanging="454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[3] R. I. T. Jensen and A. Iosifidis, ‘Fighting money laundering with statistics and machine learning,’ IEEE Access, vol. 11, 2023, doi: 10.1109/ACCESS.2023.3239549.</w:t>
      </w:r>
    </w:p>
    <w:p>
      <w:pPr>
        <w:keepLines/>
        <w:spacing w:line="360" w:lineRule="auto"/>
        <w:ind w:left="454" w:hanging="454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[4] Financial Action Task Force, Opportunities and Challenges of New Technologies for AML/CFT, 2021. https://www.fatf-gafi.org/content/dam/fatf-gafi/guidance/Opportunities-Challenges-of-New-Technologies-for-AML-CFT.pdf.coredownload.pdf</w:t>
      </w:r>
    </w:p>
    <w:p>
      <w:pPr>
        <w:keepLines/>
        <w:spacing w:line="360" w:lineRule="auto"/>
        <w:ind w:left="454" w:hanging="454"/>
        <w:jc w:val="both"/>
      </w:pPr>
      <w:r>
        <w:rPr>
          <w:rFonts w:ascii="Times New Roman" w:hAnsi="Times New Roman"/>
          <w:color w:val="000000"/>
          <w:sz w:val="24"/>
        </w:rPr>
        <w:t>[5] Financial Action Task Force and MONEYVAL, Money Laundering through Money Remittance and Currency Exchange Providers, 2010, p. 22, para. 64. https://rm.coe.int/fatf-report-money-laundering-through-money-remittance-and-currency-exc/16807150ad</w:t>
      </w:r>
    </w:p>
    <w:p>
      <w:pPr>
        <w:keepLines/>
        <w:spacing w:line="360" w:lineRule="auto"/>
        <w:ind w:left="454" w:hanging="454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[6] M. Jullum, A. Løland, R. B. Huseby, G. Ånonsen and J. Lorentzen, ‘Detecting money laundering transactions with machine learning,’ Journal of Money Laundering Control, 2020, doi: 10.1108/JMLC-07-2019-0055.</w:t>
      </w:r>
    </w:p>
    <w:p>
      <w:pPr>
        <w:keepLines/>
        <w:spacing w:line="360" w:lineRule="auto"/>
        <w:ind w:left="454" w:hanging="454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[7] A. Demirgüç-Kunt, L. Klapper, D. Singer and S. Ansar, The Global Findex Database 2021, World Bank, 2022. https://microdata.worldbank.org/collections/global-findex</w:t>
      </w:r>
    </w:p>
    <w:p>
      <w:pPr>
        <w:keepLines/>
        <w:spacing w:line="360" w:lineRule="auto"/>
        <w:ind w:left="454" w:hanging="454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[8] J. Whisker and M. E. Lokanan, ‘Anti-money laundering and counter-terrorist financing threats posed by mobile money,’ Journal of Money Laundering Control, vol. 22, no. 1, pp. 158–172, 2019, doi: 10.1108/JMLC-10-2017-0061.</w:t>
      </w:r>
    </w:p>
    <w:p>
      <w:pPr>
        <w:keepLines/>
        <w:spacing w:line="360" w:lineRule="auto"/>
        <w:ind w:left="454" w:hanging="454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[9] A. Dornbierer, Quick Guide 18: Mobile Money and Financial Crime, Basel Institute on Governance, 2020. https://baselgovernance.org/resources/publications/quick-guide-18-mobile-money-and-financial-crime/</w:t>
      </w:r>
    </w:p>
    <w:p>
      <w:pPr>
        <w:keepLines/>
        <w:spacing w:line="360" w:lineRule="auto"/>
        <w:ind w:left="454" w:hanging="454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[10] INTERPOL, Mobile Money and Organised Crime in Africa, 2020. https://www.interpol.int/content/download/15457/file/2020%252007%252015%2520PUBLIC%2520VERSION%2520-%2520Strategic%2520Analysis%2520Report%2520-Mobile%2520Money%2520in%2520Africa%25202020.pdf</w:t>
      </w:r>
    </w:p>
    <w:p>
      <w:pPr>
        <w:keepLines/>
        <w:spacing w:line="360" w:lineRule="auto"/>
        <w:ind w:left="454" w:hanging="454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[11] B. Ndlovu et al., ‘Developing a graph-based machine learning model for identifying money laundering networks associated with sanctioned entities in a bank in Zimbabwe,’ Indonesian Journal of Innovation and Applied Sciences, vol. 6, no. 1, pp. 35–59, 2026, doi: 10.47540/ijias.v6i1.2306.</w:t>
      </w:r>
    </w:p>
    <w:p>
      <w:pPr>
        <w:keepLines/>
        <w:spacing w:line="360" w:lineRule="auto"/>
        <w:ind w:left="454" w:hanging="454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[12] H. Chitimira and E. Torerai, ‘The nexus between mobile money regulation, innovative technology and the promotion of financial inclusion in Zimbabwe,’ Potchefstroom Electronic Law Journal, vol. 24, 2021, doi: 10.17159/1727-3781/2021/v24i0a10739.</w:t>
      </w:r>
    </w:p>
    <w:p>
      <w:pPr>
        <w:keepLines/>
        <w:spacing w:line="360" w:lineRule="auto"/>
        <w:ind w:left="454" w:hanging="454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[13] H. Chitimira and E. Torerai, ‘Policy implications and mobile money regulatory approaches to promote financial inclusion of the poor in Zimbabwe after the COVID-19 pandemic,’ De Jure Law Journal, vol. 56, pp. 241–260, 2023, doi: 10.17159/2225-7160/2023/v56a17.</w:t>
      </w:r>
    </w:p>
    <w:p>
      <w:pPr>
        <w:keepLines/>
        <w:spacing w:line="360" w:lineRule="auto"/>
        <w:ind w:left="454" w:hanging="454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[14] Financial Action Task Force and Egmont Group, Digital Transformation of AML/CFT for Operational Agencies, 2021. https://www.fatf-gafi.org/content/dam/fatf-gafi/guidance/Digital-Transformation-executive-summary.pdf.coredownload.pdf</w:t>
      </w:r>
    </w:p>
    <w:p>
      <w:pPr>
        <w:keepLines/>
        <w:spacing w:line="360" w:lineRule="auto"/>
        <w:ind w:left="454" w:hanging="454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[15] P. Tertychnyi, M. Godgildieva, M. Dumas and M. Ollikainen, ‘Time-aware and interpretable predictive monitoring system for anti-money laundering,’ Machine Learning with Applications, vol. 8, 100306, 2022, doi: 10.1016/j.mlwa.2022.100306.</w:t>
      </w:r>
    </w:p>
    <w:p>
      <w:pPr>
        <w:keepLines/>
        <w:spacing w:line="360" w:lineRule="auto"/>
        <w:ind w:left="454" w:hanging="454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[16] E. R. Altman et al., ‘Realistic synthetic financial transactions for anti-money laundering models,’ Advances in Neural Information Processing Systems, vol. 36, 2023. https://proceedings.neurips.cc/paper_files/paper/2023/hash/5f38404edff6f3f642d6fa5892479c42-Abstract-Datasets_and_Benchmarks.html</w:t>
      </w:r>
    </w:p>
    <w:p>
      <w:pPr>
        <w:keepLines/>
        <w:spacing w:line="360" w:lineRule="auto"/>
        <w:ind w:left="454" w:hanging="454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[17] Socket.IO, Redis Adapter Documentation, accessed Oct. 2026. https://socket.io/docs/v4/redis-adapter/</w:t>
      </w:r>
    </w:p>
    <w:p>
      <w:pPr>
        <w:keepLines/>
        <w:spacing w:line="360" w:lineRule="auto"/>
        <w:ind w:left="454" w:hanging="454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[18] Mozilla, Notifications API, accessed Oct. 2026. https://developer.mozilla.org/en-US/docs/Web/API/Notifications_API</w:t>
      </w:r>
    </w:p>
    <w:p>
      <w:pPr>
        <w:keepLines/>
        <w:spacing w:line="360" w:lineRule="auto"/>
        <w:ind w:left="454" w:hanging="454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[19] ESAAMLG, Zimbabwe: 10th Enhanced Follow-Up Report and 4th Technical Compliance Re-Rating, Apr. 2024. https://www.esaamlg.org/reports/Zimbabwe_FUR-April%202024.pdf</w:t>
      </w:r>
    </w:p>
    <w:p>
      <w:pPr>
        <w:keepLines/>
        <w:spacing w:line="360" w:lineRule="auto"/>
        <w:ind w:left="454" w:hanging="454"/>
        <w:jc w:val="both"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[20] XGBoost Developers, XGBoost Python API Reference, accessed Oct. 2026. https://xgboost.readthedocs.io/en/stable/python/python_api.html</w:t>
      </w:r>
    </w:p>
    <w:sectPr w:rsidR="00BD6A76" w:rsidRPr="005B230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30D"/>
    <w:rsid w:val="005B230D"/>
    <w:rsid w:val="009A2977"/>
    <w:rsid w:val="00BD6A76"/>
    <w:rsid w:val="00C0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5B488"/>
  <w15:chartTrackingRefBased/>
  <w15:docId w15:val="{94F97EBB-D8E7-43C5-8AD6-35C27AFB1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color w:val="000000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 w:after="12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230D"/>
    <w:pPr>
      <w:keepNext/>
      <w:keepLines/>
      <w:spacing w:before="360" w:after="80"/>
      <w:outlineLvl w:val="0"/>
    </w:pPr>
    <w:rPr>
      <w:rFonts w:ascii="Times New Roman" w:hAnsi="Times New Roman" w:eastAsia="Times New Roman" w:cs="Times New Roman"/>
      <w:b/>
      <w:bCs w:val="1"/>
      <w:color w:val="000000"/>
      <w:sz w:val="24"/>
      <w:szCs w:val="24"/>
      <w:u w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30D"/>
    <w:pPr>
      <w:keepNext/>
      <w:keepLines/>
      <w:spacing w:before="160" w:after="80"/>
      <w:outlineLvl w:val="1"/>
    </w:pPr>
    <w:rPr>
      <w:rFonts w:ascii="Times New Roman" w:hAnsi="Times New Roman" w:eastAsia="Times New Roman" w:cs="Times New Roman"/>
      <w:b/>
      <w:bCs w:val="1"/>
      <w:color w:val="000000"/>
      <w:sz w:val="24"/>
      <w:szCs w:val="24"/>
      <w:u w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30D"/>
    <w:pPr>
      <w:keepNext/>
      <w:keepLines/>
      <w:spacing w:before="160" w:after="80"/>
      <w:outlineLvl w:val="2"/>
    </w:pPr>
    <w:rPr>
      <w:rFonts w:ascii="Times New Roman" w:hAnsi="Times New Roman" w:eastAsia="Times New Roman" w:cs="Times New Roman"/>
      <w:b/>
      <w:bCs w:val="1"/>
      <w:color w:val="000000"/>
      <w:sz w:val="24"/>
      <w:szCs w:val="24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30D"/>
    <w:pPr>
      <w:keepNext/>
      <w:keepLines/>
      <w:spacing w:before="80" w:after="40"/>
      <w:outlineLvl w:val="3"/>
    </w:pPr>
    <w:rPr>
      <w:rFonts w:ascii="Times New Roman" w:hAnsi="Times New Roman" w:eastAsia="Times New Roman" w:cs="Times New Roman"/>
      <w:b/>
      <w:bCs w:val="1"/>
      <w:i/>
      <w:iCs/>
      <w:color w:val="000000"/>
      <w:sz w:val="24"/>
      <w:szCs w:val="24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30D"/>
    <w:pPr>
      <w:keepNext/>
      <w:keepLines/>
      <w:spacing w:before="80" w:after="40"/>
      <w:outlineLvl w:val="4"/>
    </w:pPr>
    <w:rPr>
      <w:rFonts w:ascii="Times New Roman" w:hAnsi="Times New Roman" w:eastAsia="Times New Roman" w:cs="Times New Roman"/>
      <w:b/>
      <w:bCs w:val="1"/>
      <w:color w:val="000000"/>
      <w:sz w:val="24"/>
      <w:szCs w:val="24"/>
      <w:u w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30D"/>
    <w:pPr>
      <w:keepNext/>
      <w:keepLines/>
      <w:spacing w:before="40" w:after="0"/>
      <w:outlineLvl w:val="5"/>
    </w:pPr>
    <w:rPr>
      <w:rFonts w:ascii="Times New Roman" w:hAnsi="Times New Roman" w:eastAsia="Times New Roman" w:cs="Times New Roman"/>
      <w:b/>
      <w:bCs w:val="1"/>
      <w:i/>
      <w:iCs/>
      <w:color w:val="000000"/>
      <w:sz w:val="24"/>
      <w:szCs w:val="24"/>
      <w:u w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30D"/>
    <w:pPr>
      <w:keepNext/>
      <w:keepLines/>
      <w:spacing w:before="40" w:after="0"/>
      <w:outlineLvl w:val="6"/>
    </w:pPr>
    <w:rPr>
      <w:rFonts w:ascii="Times New Roman" w:hAnsi="Times New Roman" w:eastAsia="Times New Roman" w:cs="Times New Roman"/>
      <w:b/>
      <w:bCs w:val="1"/>
      <w:color w:val="000000"/>
      <w:sz w:val="24"/>
      <w:szCs w:val="24"/>
      <w:u w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30D"/>
    <w:pPr>
      <w:keepNext/>
      <w:keepLines/>
      <w:spacing w:after="0"/>
      <w:outlineLvl w:val="7"/>
    </w:pPr>
    <w:rPr>
      <w:rFonts w:ascii="Times New Roman" w:hAnsi="Times New Roman" w:eastAsia="Times New Roman" w:cs="Times New Roman"/>
      <w:b/>
      <w:bCs w:val="1"/>
      <w:i/>
      <w:iCs/>
      <w:color w:val="000000"/>
      <w:sz w:val="24"/>
      <w:szCs w:val="24"/>
      <w:u w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30D"/>
    <w:pPr>
      <w:keepNext/>
      <w:keepLines/>
      <w:spacing w:after="0"/>
      <w:outlineLvl w:val="8"/>
    </w:pPr>
    <w:rPr>
      <w:rFonts w:ascii="Times New Roman" w:hAnsi="Times New Roman" w:eastAsia="Times New Roman" w:cs="Times New Roman"/>
      <w:b/>
      <w:bCs w:val="1"/>
      <w:color w:val="000000"/>
      <w:sz w:val="24"/>
      <w:szCs w:val="24"/>
      <w:u w:val="none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30D"/>
    <w:rPr>
      <w:rFonts w:ascii="Times New Roman" w:hAnsi="Times New Roman" w:eastAsia="Times New Roman" w:cs="Times New Roman"/>
      <w:b/>
      <w:bCs w:val="1"/>
      <w:color w:val="000000"/>
      <w:sz w:val="24"/>
      <w:szCs w:val="24"/>
      <w:u w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30D"/>
    <w:rPr>
      <w:rFonts w:ascii="Times New Roman" w:hAnsi="Times New Roman" w:eastAsia="Times New Roman" w:cs="Times New Roman"/>
      <w:b/>
      <w:bCs w:val="1"/>
      <w:color w:val="000000"/>
      <w:sz w:val="24"/>
      <w:szCs w:val="24"/>
      <w:u w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30D"/>
    <w:rPr>
      <w:rFonts w:ascii="Times New Roman" w:hAnsi="Times New Roman" w:eastAsia="Times New Roman" w:cs="Times New Roman"/>
      <w:b/>
      <w:bCs w:val="1"/>
      <w:color w:val="000000"/>
      <w:sz w:val="24"/>
      <w:szCs w:val="24"/>
      <w:u w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30D"/>
    <w:rPr>
      <w:rFonts w:ascii="Times New Roman" w:hAnsi="Times New Roman" w:eastAsia="Times New Roman" w:cs="Times New Roman"/>
      <w:b/>
      <w:bCs w:val="1"/>
      <w:i/>
      <w:iCs/>
      <w:color w:val="000000"/>
      <w:sz w:val="24"/>
      <w:szCs w:val="24"/>
      <w:u w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30D"/>
    <w:rPr>
      <w:rFonts w:ascii="Times New Roman" w:hAnsi="Times New Roman" w:eastAsia="Times New Roman" w:cs="Times New Roman"/>
      <w:b/>
      <w:bCs w:val="1"/>
      <w:color w:val="000000"/>
      <w:sz w:val="24"/>
      <w:szCs w:val="24"/>
      <w:u w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30D"/>
    <w:rPr>
      <w:rFonts w:ascii="Times New Roman" w:hAnsi="Times New Roman" w:eastAsia="Times New Roman" w:cs="Times New Roman"/>
      <w:b/>
      <w:bCs w:val="1"/>
      <w:i/>
      <w:iCs/>
      <w:color w:val="000000"/>
      <w:sz w:val="24"/>
      <w:szCs w:val="24"/>
      <w:u w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30D"/>
    <w:rPr>
      <w:rFonts w:ascii="Times New Roman" w:hAnsi="Times New Roman" w:eastAsia="Times New Roman" w:cs="Times New Roman"/>
      <w:b/>
      <w:bCs w:val="1"/>
      <w:color w:val="000000"/>
      <w:sz w:val="24"/>
      <w:szCs w:val="24"/>
      <w:u w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30D"/>
    <w:rPr>
      <w:rFonts w:ascii="Times New Roman" w:hAnsi="Times New Roman" w:eastAsia="Times New Roman" w:cs="Times New Roman"/>
      <w:b/>
      <w:bCs w:val="1"/>
      <w:i/>
      <w:iCs/>
      <w:color w:val="000000"/>
      <w:sz w:val="24"/>
      <w:szCs w:val="24"/>
      <w:u w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30D"/>
    <w:rPr>
      <w:rFonts w:ascii="Times New Roman" w:hAnsi="Times New Roman" w:eastAsia="Times New Roman" w:cs="Times New Roman"/>
      <w:b/>
      <w:bCs w:val="1"/>
      <w:color w:val="000000"/>
      <w:sz w:val="24"/>
      <w:szCs w:val="24"/>
      <w:u w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B230D"/>
    <w:pPr>
      <w:keepNext/>
      <w:spacing w:after="80" w:line="240" w:lineRule="auto"/>
      <w:contextualSpacing/>
    </w:pPr>
    <w:rPr>
      <w:rFonts w:ascii="Times New Roman" w:hAnsi="Times New Roman" w:eastAsia="Times New Roman" w:cs="Times New Roman"/>
      <w:b/>
      <w:bCs w:val="1"/>
      <w:color w:val="000000"/>
      <w:spacing w:val="-10"/>
      <w:kern w:val="28"/>
      <w:sz w:val="24"/>
      <w:szCs w:val="24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5B230D"/>
    <w:rPr>
      <w:rFonts w:ascii="Times New Roman" w:hAnsi="Times New Roman" w:eastAsia="Times New Roman" w:cs="Times New Roman"/>
      <w:b/>
      <w:bCs w:val="1"/>
      <w:color w:val="000000"/>
      <w:spacing w:val="-10"/>
      <w:kern w:val="28"/>
      <w:sz w:val="24"/>
      <w:szCs w:val="24"/>
      <w:u w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30D"/>
    <w:pPr>
      <w:keepNext/>
      <w:numPr>
        <w:ilvl w:val="1"/>
      </w:numPr>
    </w:pPr>
    <w:rPr>
      <w:rFonts w:ascii="Times New Roman" w:hAnsi="Times New Roman" w:eastAsia="Times New Roman" w:cs="Times New Roman"/>
      <w:b/>
      <w:bCs w:val="1"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5B230D"/>
    <w:rPr>
      <w:rFonts w:ascii="Times New Roman" w:hAnsi="Times New Roman" w:eastAsia="Times New Roman" w:cs="Times New Roman"/>
      <w:b/>
      <w:bCs w:val="1"/>
      <w:color w:val="000000"/>
      <w:spacing w:val="15"/>
      <w:sz w:val="24"/>
      <w:szCs w:val="24"/>
      <w:u w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B230D"/>
    <w:pPr>
      <w:spacing w:before="160"/>
      <w:jc w:val="center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B230D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B230D"/>
    <w:pPr>
      <w:ind w:left="72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B230D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3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30D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5B230D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prominance fungurayi</dc:creator>
  <cp:keywords/>
  <dc:description/>
  <cp:lastModifiedBy>prominance fungurayi</cp:lastModifiedBy>
  <cp:revision>1</cp:revision>
  <dcterms:created xsi:type="dcterms:W3CDTF">2026-10-19T07:04:00Z</dcterms:created>
  <dcterms:modified xsi:type="dcterms:W3CDTF">2026-10-19T07:05:00Z</dcterms:modified>
  <dc:identifier>AML.IndividualChaptersReferences.v1</dc:identifier>
</cp:coreProperties>
</file>