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V4 XGBoost: Pattern Families and Feature Reference</w:t>
      </w:r>
    </w:p>
    <w:p>
      <w:r>
        <w:t>EpoCash Mobile-Money Anti-Money Laundering System</w:t>
      </w:r>
    </w:p>
    <w:p>
      <w:r>
        <w:t>Prepared: 23 October 2026</w:t>
      </w:r>
    </w:p>
    <w:p>
      <w:pPr>
        <w:pStyle w:val="Heading1"/>
      </w:pPr>
      <w:r>
        <w:t>1. Overview</w:t>
      </w:r>
    </w:p>
    <w:p>
      <w:r>
        <w:t>The frozen V4 XGBoost model assesses three suspicious-pattern families: structuring, network behaviour and agent behaviour. It uses 40 features, converted into 42 input columns after encoding transaction type. Its final prediction is normal or suspicious; it does not directly output a definitive fraud-family classification.</w:t>
      </w:r>
    </w:p>
    <w:p>
      <w:pPr>
        <w:pStyle w:val="Heading1"/>
      </w:pPr>
      <w:r>
        <w:t>2. Main pattern families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Spacing w:w="0" w:type="dxa"/>
      </w:tblPr>
      <w:tblGrid>
        <w:gridCol w:w="4946"/>
        <w:gridCol w:w="4946"/>
      </w:tblGrid>
      <w:tr>
        <w:trPr>
          <w:tblHeader/>
          <w:cantSplit/>
        </w:trPr>
        <w:tc>
          <w:tcPr>
            <w:tcW w:type="dxa" w:w="2016"/>
          </w:tcPr>
          <w:p>
            <w:pPr>
              <w:spacing w:after="80" w:before="80"/>
            </w:pPr>
            <w:r>
              <w:rPr>
                <w:b/>
              </w:rPr>
              <w:t>Family</w:t>
            </w:r>
          </w:p>
        </w:tc>
        <w:tc>
          <w:tcPr>
            <w:tcW w:type="dxa" w:w="7776"/>
          </w:tcPr>
          <w:p>
            <w:pPr>
              <w:spacing w:after="80" w:before="80"/>
            </w:pPr>
            <w:r>
              <w:rPr>
                <w:b/>
              </w:rPr>
              <w:t>Activity examined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 w:before="80"/>
            </w:pPr>
            <w:r>
              <w:t>Structuring</w:t>
            </w:r>
          </w:p>
        </w:tc>
        <w:tc>
          <w:tcPr>
            <w:tcW w:type="dxa" w:w="7776"/>
          </w:tcPr>
          <w:p>
            <w:pPr>
              <w:spacing w:after="80" w:before="80"/>
            </w:pPr>
            <w:r>
              <w:t>Repeated or split payments, bursts of activity and changes from a customer?s usual transaction pattern.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 w:before="80"/>
            </w:pPr>
            <w:r>
              <w:t>Network behaviour</w:t>
            </w:r>
          </w:p>
        </w:tc>
        <w:tc>
          <w:tcPr>
            <w:tcW w:type="dxa" w:w="7776"/>
          </w:tcPr>
          <w:p>
            <w:pPr>
              <w:spacing w:after="80" w:before="80"/>
            </w:pPr>
            <w:r>
              <w:t>Connections between wallets, collecting or spreading funds, circular transfers and rapid onward movement.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 w:before="80"/>
            </w:pPr>
            <w:r>
              <w:t>Agent behaviour</w:t>
            </w:r>
          </w:p>
        </w:tc>
        <w:tc>
          <w:tcPr>
            <w:tcW w:type="dxa" w:w="7776"/>
          </w:tcPr>
          <w:p>
            <w:pPr>
              <w:spacing w:after="80" w:before="80"/>
            </w:pPr>
            <w:r>
              <w:t>Changes in customers served, service frequency, customer concentration and cash-in/cash-out activity.</w:t>
            </w:r>
          </w:p>
        </w:tc>
      </w:tr>
    </w:tbl>
    <w:p>
      <w:pPr>
        <w:pStyle w:val="Heading1"/>
      </w:pPr>
      <w:r>
        <w:t>3. Complete feature list</w:t>
      </w:r>
    </w:p>
    <w:p>
      <w:pPr>
        <w:pStyle w:val="Heading2"/>
      </w:pPr>
      <w:r>
        <w:t>Transaction details ? 2 features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Spacing w:w="0" w:type="dxa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rPr>
                <w:b/>
              </w:rPr>
              <w:t>No.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rPr>
                <w:b/>
              </w:rPr>
              <w:t>Feature name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rPr>
                <w:b/>
              </w:rPr>
              <w:t>Meaning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1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amount_minor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Current transaction amount in cents.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2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transaction_type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Wallet transfer, cash-in or cash-out.</w:t>
            </w:r>
          </w:p>
        </w:tc>
      </w:tr>
    </w:tbl>
    <w:p>
      <w:pPr>
        <w:pStyle w:val="Heading2"/>
      </w:pPr>
      <w:r>
        <w:t>Structuring ? 10 features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Spacing w:w="0" w:type="dxa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rPr>
                <w:b/>
              </w:rPr>
              <w:t>No.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rPr>
                <w:b/>
              </w:rPr>
              <w:t>Feature name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rPr>
                <w:b/>
              </w:rPr>
              <w:t>Meaning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3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wallet_count_1h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Number of wallet transactions within one hour.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4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wallet_value_1h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Total transaction value within one hour.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5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wallet_max_value_share_1h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Share of the hourly total contributed by the largest payment.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6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wallet_activity_acceleration_1h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Hourly activity compared with the wallet?s earlier activity.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7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wallet_similar_amount_count_7d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Payments within 5% of the current amount over seven days.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8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wallet_similar_amount_share_7d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Proportion of seven-day activity consisting of those similar amounts.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9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wallet_count_utc_day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Transactions since midnight UTC.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10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wallet_active_hours_utc_day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Number of different hours containing transactions that day.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11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wallet_day_count_growth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Today?s transaction count compared with the previous 28 days.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12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wallet_near_band_count_7d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Seven-day count of payments in the model?s defined $7,000?$10,500 analysis band.</w:t>
            </w:r>
          </w:p>
        </w:tc>
      </w:tr>
    </w:tbl>
    <w:p>
      <w:r>
        <w:t>The $7,000?$10,500 band is a model design choice, not a statement of a legal reporting threshold.</w:t>
      </w:r>
    </w:p>
    <w:p>
      <w:pPr>
        <w:pStyle w:val="Heading2"/>
      </w:pPr>
      <w:r>
        <w:t>Network behaviour ? 12 features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Spacing w:w="0" w:type="dxa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rPr>
                <w:b/>
              </w:rPr>
              <w:t>No.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rPr>
                <w:b/>
              </w:rPr>
              <w:t>Feature name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rPr>
                <w:b/>
              </w:rPr>
              <w:t>Meaning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13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network_in_count_24h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Payments received by the receiving wallet within 24 hours.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14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network_in_distinct_24h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Different wallets sending to that receiving wallet within 24 hours.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15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network_in_acceleration_24h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Increase in incoming activity compared with earlier history.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16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network_out_count_24h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Payments sent by the sending wallet within 24 hours.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17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network_out_distinct_24h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Different recipients paid by the sending wallet within 24 hours.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18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network_out_acceleration_24h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Increase in outgoing activity compared with earlier history.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19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prior_return_path_min_length_7d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Length of the shortest earlier payment path that the current transfer could close into a circle.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20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prior_return_path_count_7d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Number of those earlier return paths within seven days.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21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prior_path_min_max_log_change_7d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Amount variation along the selected earlier payment path.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22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current_to_selected_path_first_value_ratio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Current amount compared with the first payment on that path.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23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wallet_pass_through_fraction_24h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Share of relevant received funds sent onwards, including the current payment.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24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wallet_prior_funding_residual_minor_24h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Relevant received funds remaining after earlier outgoing payments.</w:t>
            </w:r>
          </w:p>
        </w:tc>
      </w:tr>
    </w:tbl>
    <w:p>
      <w:pPr>
        <w:pStyle w:val="Heading2"/>
      </w:pPr>
      <w:r>
        <w:t>Agent behaviour ? 14 features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Spacing w:w="0" w:type="dxa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rPr>
                <w:b/>
              </w:rPr>
              <w:t>No.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rPr>
                <w:b/>
              </w:rPr>
              <w:t>Feature name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rPr>
                <w:b/>
              </w:rPr>
              <w:t>Meaning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25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agent_wallet_growth_ratio_7d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Growth in customers served compared with previous weekly activity.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26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agent_distinct_wallets_7d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Different customer wallets served within seven days.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27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agent_new_wallet_count_7d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Customers absent from the agent?s earlier baseline.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28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agent_new_wallet_share_7d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Proportion of customers that are new to that baseline.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29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agent_top2_count_share_24h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Share of services involving the two most frequent customers within 24 hours.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30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agent_top2_share_change_24h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Change in that customer concentration compared with earlier history.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31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agent_service_acceleration_1h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Hourly service activity compared with the agent?s earlier activity.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32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agent_distinct_wallets_1h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Different customer wallets served within one hour.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33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agent_cash_in_count_24h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Number of cash-in services within 24 hours.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34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agent_cash_out_count_24h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Number of cash-out services within 24 hours.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35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agent_cash_in_value_24h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Total cash-in value within 24 hours.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36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agent_cash_out_value_24h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Total cash-out value within 24 hours.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37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agent_cash_distinct_wallets_24h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Different wallets using cash services within 24 hours.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38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agent_cash_value_skew_change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Change in the balance between cash-out and cash-in values compared with earlier history.</w:t>
            </w:r>
          </w:p>
        </w:tc>
      </w:tr>
    </w:tbl>
    <w:p>
      <w:pPr>
        <w:pStyle w:val="Heading2"/>
      </w:pPr>
      <w:r>
        <w:t>Available history ? 2 features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Spacing w:w="0" w:type="dxa"/>
      </w:tblPr>
      <w:tblGrid>
        <w:gridCol w:w="3298"/>
        <w:gridCol w:w="3298"/>
        <w:gridCol w:w="3298"/>
      </w:tblGrid>
      <w:tr>
        <w:trPr>
          <w:tblHeader/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rPr>
                <w:b/>
              </w:rPr>
              <w:t>No.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rPr>
                <w:b/>
              </w:rPr>
              <w:t>Feature name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rPr>
                <w:b/>
              </w:rPr>
              <w:t>Meaning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39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wallet_observed_coverage_days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Days of observed wallet history, capped at 35.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80" w:before="80"/>
            </w:pPr>
            <w:r>
              <w:t>40</w:t>
            </w:r>
          </w:p>
        </w:tc>
        <w:tc>
          <w:tcPr>
            <w:tcW w:type="dxa" w:w="4392"/>
          </w:tcPr>
          <w:p>
            <w:pPr>
              <w:spacing w:after="80" w:before="80"/>
            </w:pPr>
            <w:r>
              <w:t>agent_observed_coverage_days</w:t>
            </w:r>
          </w:p>
        </w:tc>
        <w:tc>
          <w:tcPr>
            <w:tcW w:type="dxa" w:w="4824"/>
          </w:tcPr>
          <w:p>
            <w:pPr>
              <w:spacing w:after="80" w:before="80"/>
            </w:pPr>
            <w:r>
              <w:t>Days of observed agent history, capped at 35.</w:t>
            </w:r>
          </w:p>
        </w:tc>
      </w:tr>
    </w:tbl>
    <w:p>
      <w:pPr>
        <w:pStyle w:val="Heading1"/>
      </w:pPr>
      <w:r>
        <w:t>4. Interpretation for demonstration</w:t>
      </w:r>
    </w:p>
    <w:p>
      <w:r>
        <w:t>V4 assesses amounts, repetition, timing, connections between wallets and agent activity together. A single feature is not proof of money laundering. The AI result and independent AML rule findings are separate assessments.</w:t>
      </w:r>
    </w:p>
    <w:p>
      <w:r>
        <w:t>Features requiring historical comparison need sufficient observed history. A newly created wallet or agent may not yet have an eligible baseline. The extractor represents unavailable baseline comparisons explicitly; missing history must not be described as established normal behaviour.</w:t>
      </w:r>
    </w:p>
    <w:p>
      <w:r>
        <w:t>The generator?s routine/suspicious scenario mix describes intended inputs, not guaranteed model predictions or measured detection accuracy. Having features for all three families does not establish equal detection performance across them.</w:t>
      </w:r>
    </w:p>
    <w:p>
      <w:pPr>
        <w:pStyle w:val="Heading1"/>
      </w:pPr>
      <w:r>
        <w:t>5. Source and scope</w:t>
      </w:r>
    </w:p>
    <w:p>
      <w:r>
        <w:t>Feature names and definitions were checked against the project?s frozen feature specification: ml_v4/design/v4_feature_spec.json (v4.features.1). This reference describes the 40-feature contract used by frozen V4, not the separate experimental feature extension. No model, threshold, feature contract or database was modified to prepare this document.</w:t>
      </w:r>
    </w:p>
    <w:sectPr w:rsidR="00FC693F" w:rsidRPr="0006063C" w:rsidSect="00034616">
      <w:footerReference w:type="default" r:id="rId9"/>
      <w:pgSz w:w="11909" w:h="16834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