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42860" w14:textId="77777777" w:rsidR="005F231B" w:rsidRPr="00047BDB" w:rsidRDefault="005F231B" w:rsidP="005F231B">
      <w:pPr>
        <w:rPr>
          <w:rFonts w:eastAsia="Times New Roman"/>
          <w:b/>
          <w:szCs w:val="24"/>
        </w:rPr>
      </w:pPr>
      <w:r w:rsidRPr="00047BDB">
        <w:rPr>
          <w:rFonts w:eastAsia="Times New Roman" w:cs="Times New Roman"/>
          <w:b/>
          <w:bCs/>
          <w:noProof/>
          <w:szCs w:val="24"/>
          <w:lang w:val="en-ZW"/>
        </w:rPr>
        <w:drawing>
          <wp:inline distT="0" distB="0" distL="0" distR="0" wp14:anchorId="7DDFA484" wp14:editId="07B76A65">
            <wp:extent cx="24003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2400371" cy="2514674"/>
                    </a:xfrm>
                    <a:prstGeom prst="rect">
                      <a:avLst/>
                    </a:prstGeom>
                  </pic:spPr>
                </pic:pic>
              </a:graphicData>
            </a:graphic>
          </wp:inline>
        </w:drawing>
      </w:r>
    </w:p>
    <w:p w14:paraId="402D8FE4" w14:textId="7AC6CBAA" w:rsidR="005F231B" w:rsidRPr="0061576B" w:rsidRDefault="005F231B" w:rsidP="005F231B">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CHAPTER 5: CONCLUSIONS AND RECOMMENDATIONS</w:t>
      </w:r>
    </w:p>
    <w:p w14:paraId="2EF5ED55" w14:textId="77777777" w:rsidR="005F231B" w:rsidRPr="00047BDB" w:rsidRDefault="005F231B" w:rsidP="005F231B">
      <w:pPr>
        <w:rPr>
          <w:szCs w:val="24"/>
        </w:rPr>
      </w:pPr>
      <w:r w:rsidRPr="00047BDB">
        <w:rPr>
          <w:rFonts w:eastAsia="Times New Roman"/>
          <w:szCs w:val="24"/>
        </w:rPr>
        <w:t>Prominance Fungurayi: R251946T</w:t>
      </w:r>
    </w:p>
    <w:p w14:paraId="2B9E95A5" w14:textId="77777777" w:rsidR="005F231B" w:rsidRPr="00047BDB" w:rsidRDefault="005F231B" w:rsidP="005F231B">
      <w:pPr>
        <w:rPr>
          <w:rFonts w:eastAsia="Times New Roman"/>
          <w:szCs w:val="24"/>
        </w:rPr>
      </w:pPr>
      <w:r w:rsidRPr="00047BDB">
        <w:rPr>
          <w:rFonts w:eastAsia="Times New Roman"/>
          <w:szCs w:val="24"/>
        </w:rPr>
        <w:t>Ashton Kahlari: R252989W</w:t>
      </w:r>
    </w:p>
    <w:p w14:paraId="3660C955" w14:textId="77777777" w:rsidR="005F231B" w:rsidRDefault="005F231B" w:rsidP="00835BD6">
      <w:pPr>
        <w:spacing w:line="360" w:lineRule="auto"/>
        <w:jc w:val="both"/>
        <w:rPr>
          <w:rFonts w:ascii="Times New Roman" w:hAnsi="Times New Roman" w:cs="Times New Roman"/>
          <w:b/>
          <w:bCs/>
          <w:sz w:val="24"/>
          <w:szCs w:val="24"/>
          <w:lang w:val="en-ZW"/>
        </w:rPr>
      </w:pPr>
    </w:p>
    <w:p w14:paraId="5BDE81BD" w14:textId="77777777" w:rsidR="005F231B" w:rsidRDefault="005F231B" w:rsidP="00835BD6">
      <w:pPr>
        <w:spacing w:line="360" w:lineRule="auto"/>
        <w:jc w:val="both"/>
        <w:rPr>
          <w:rFonts w:ascii="Times New Roman" w:hAnsi="Times New Roman" w:cs="Times New Roman"/>
          <w:b/>
          <w:bCs/>
          <w:sz w:val="24"/>
          <w:szCs w:val="24"/>
          <w:lang w:val="en-ZW"/>
        </w:rPr>
      </w:pPr>
    </w:p>
    <w:p w14:paraId="191493A3" w14:textId="77777777" w:rsidR="00E61322" w:rsidRDefault="00E61322" w:rsidP="00835BD6">
      <w:pPr>
        <w:spacing w:line="360" w:lineRule="auto"/>
        <w:jc w:val="both"/>
        <w:rPr>
          <w:rFonts w:ascii="Times New Roman" w:hAnsi="Times New Roman" w:cs="Times New Roman"/>
          <w:b/>
          <w:bCs/>
          <w:sz w:val="24"/>
          <w:szCs w:val="24"/>
          <w:lang w:val="en-ZW"/>
        </w:rPr>
      </w:pPr>
    </w:p>
    <w:p w14:paraId="0B6E07D1" w14:textId="77777777" w:rsidR="00E61322" w:rsidRDefault="00E61322" w:rsidP="00835BD6">
      <w:pPr>
        <w:spacing w:line="360" w:lineRule="auto"/>
        <w:jc w:val="both"/>
        <w:rPr>
          <w:rFonts w:ascii="Times New Roman" w:hAnsi="Times New Roman" w:cs="Times New Roman"/>
          <w:b/>
          <w:bCs/>
          <w:sz w:val="24"/>
          <w:szCs w:val="24"/>
          <w:lang w:val="en-ZW"/>
        </w:rPr>
      </w:pPr>
    </w:p>
    <w:p w14:paraId="72DEF4A3" w14:textId="77777777" w:rsidR="00E61322" w:rsidRDefault="00E61322" w:rsidP="00835BD6">
      <w:pPr>
        <w:spacing w:line="360" w:lineRule="auto"/>
        <w:jc w:val="both"/>
        <w:rPr>
          <w:rFonts w:ascii="Times New Roman" w:hAnsi="Times New Roman" w:cs="Times New Roman"/>
          <w:b/>
          <w:bCs/>
          <w:sz w:val="24"/>
          <w:szCs w:val="24"/>
          <w:lang w:val="en-ZW"/>
        </w:rPr>
      </w:pPr>
    </w:p>
    <w:p w14:paraId="5960724B" w14:textId="77777777" w:rsidR="00E61322" w:rsidRDefault="00E61322" w:rsidP="00835BD6">
      <w:pPr>
        <w:spacing w:line="360" w:lineRule="auto"/>
        <w:jc w:val="both"/>
        <w:rPr>
          <w:rFonts w:ascii="Times New Roman" w:hAnsi="Times New Roman" w:cs="Times New Roman"/>
          <w:b/>
          <w:bCs/>
          <w:sz w:val="24"/>
          <w:szCs w:val="24"/>
          <w:lang w:val="en-ZW"/>
        </w:rPr>
      </w:pPr>
    </w:p>
    <w:p w14:paraId="78B01189" w14:textId="77777777" w:rsidR="00E61322" w:rsidRDefault="00E61322" w:rsidP="00835BD6">
      <w:pPr>
        <w:spacing w:line="360" w:lineRule="auto"/>
        <w:jc w:val="both"/>
        <w:rPr>
          <w:rFonts w:ascii="Times New Roman" w:hAnsi="Times New Roman" w:cs="Times New Roman"/>
          <w:b/>
          <w:bCs/>
          <w:sz w:val="24"/>
          <w:szCs w:val="24"/>
          <w:lang w:val="en-ZW"/>
        </w:rPr>
      </w:pPr>
    </w:p>
    <w:p w14:paraId="5D379195" w14:textId="77777777" w:rsidR="00E61322" w:rsidRDefault="00E61322" w:rsidP="00835BD6">
      <w:pPr>
        <w:spacing w:line="360" w:lineRule="auto"/>
        <w:jc w:val="both"/>
        <w:rPr>
          <w:rFonts w:ascii="Times New Roman" w:hAnsi="Times New Roman" w:cs="Times New Roman"/>
          <w:b/>
          <w:bCs/>
          <w:sz w:val="24"/>
          <w:szCs w:val="24"/>
          <w:lang w:val="en-ZW"/>
        </w:rPr>
      </w:pPr>
    </w:p>
    <w:p w14:paraId="18EA2483" w14:textId="77777777" w:rsidR="00E61322" w:rsidRDefault="00E61322" w:rsidP="00835BD6">
      <w:pPr>
        <w:spacing w:line="360" w:lineRule="auto"/>
        <w:jc w:val="both"/>
        <w:rPr>
          <w:rFonts w:ascii="Times New Roman" w:hAnsi="Times New Roman" w:cs="Times New Roman"/>
          <w:b/>
          <w:bCs/>
          <w:sz w:val="24"/>
          <w:szCs w:val="24"/>
          <w:lang w:val="en-ZW"/>
        </w:rPr>
      </w:pPr>
    </w:p>
    <w:p w14:paraId="0EFB3321" w14:textId="77777777" w:rsidR="00E61322" w:rsidRDefault="00E61322" w:rsidP="00835BD6">
      <w:pPr>
        <w:spacing w:line="360" w:lineRule="auto"/>
        <w:jc w:val="both"/>
        <w:rPr>
          <w:rFonts w:ascii="Times New Roman" w:hAnsi="Times New Roman" w:cs="Times New Roman"/>
          <w:b/>
          <w:bCs/>
          <w:sz w:val="24"/>
          <w:szCs w:val="24"/>
          <w:lang w:val="en-ZW"/>
        </w:rPr>
      </w:pPr>
    </w:p>
    <w:p w14:paraId="55EA2BC1" w14:textId="77777777" w:rsidR="00E61322" w:rsidRDefault="00E61322" w:rsidP="00835BD6">
      <w:pPr>
        <w:spacing w:line="360" w:lineRule="auto"/>
        <w:jc w:val="both"/>
        <w:rPr>
          <w:rFonts w:ascii="Times New Roman" w:hAnsi="Times New Roman" w:cs="Times New Roman"/>
          <w:b/>
          <w:bCs/>
          <w:sz w:val="24"/>
          <w:szCs w:val="24"/>
          <w:lang w:val="en-ZW"/>
        </w:rPr>
      </w:pPr>
    </w:p>
    <w:p w14:paraId="16D52639" w14:textId="77777777" w:rsidR="00E61322" w:rsidRDefault="00E61322" w:rsidP="00835BD6">
      <w:pPr>
        <w:spacing w:line="360" w:lineRule="auto"/>
        <w:jc w:val="both"/>
        <w:rPr>
          <w:rFonts w:ascii="Times New Roman" w:hAnsi="Times New Roman" w:cs="Times New Roman"/>
          <w:b/>
          <w:bCs/>
          <w:sz w:val="24"/>
          <w:szCs w:val="24"/>
          <w:lang w:val="en-ZW"/>
        </w:rPr>
      </w:pPr>
    </w:p>
    <w:p w14:paraId="64EB7567" w14:textId="77777777" w:rsidR="00E61322" w:rsidRDefault="00E61322" w:rsidP="00835BD6">
      <w:pPr>
        <w:spacing w:line="360" w:lineRule="auto"/>
        <w:jc w:val="both"/>
        <w:rPr>
          <w:rFonts w:ascii="Times New Roman" w:hAnsi="Times New Roman" w:cs="Times New Roman"/>
          <w:b/>
          <w:bCs/>
          <w:sz w:val="24"/>
          <w:szCs w:val="24"/>
          <w:lang w:val="en-ZW"/>
        </w:rPr>
      </w:pPr>
    </w:p>
    <w:p w14:paraId="41C9730B" w14:textId="40AA6B84"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lastRenderedPageBreak/>
        <w:t>5.1 Introduction</w:t>
      </w:r>
    </w:p>
    <w:p w14:paraId="684F3E11"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This chapter presents the conclusions drawn from the development and evaluation of the mobile-money Anti-Money Laundering (AML) decision-support system. The conclusions are based on the research objectives established in Chapter 1 and the experimental and system results presented in Chapter 4.</w:t>
      </w:r>
    </w:p>
    <w:p w14:paraId="430D008C"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research investigated whether mobile-money transaction behaviour could be analysed using structuring, wallet/transaction-network and agent behavioural characteristics and subsequently classified using machine learning to support AML monitoring. The study also investigated how the resulting analytical mechanism could be integrated into a real-time application containing transaction monitoring, alerts, investigations and dashboard functionality.</w:t>
      </w:r>
    </w:p>
    <w:p w14:paraId="64DAC3B0" w14:textId="77777777" w:rsid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conclusions presented in this chapter are limited to the controlled research environment in which the system was developed and evaluated. Since synthetic mobile-money data were used, the findings do not establish the same level of performance within a live Zimbabwean mobile-money environment. Synthetic financial datasets provide useful controlled ground truth for AML experimentation but cannot completely reproduce operational transaction behaviour [7].</w:t>
      </w:r>
    </w:p>
    <w:p w14:paraId="210D516D" w14:textId="77777777" w:rsidR="00F54311" w:rsidRPr="00835BD6" w:rsidRDefault="00F54311" w:rsidP="00835BD6">
      <w:pPr>
        <w:spacing w:line="360" w:lineRule="auto"/>
        <w:jc w:val="both"/>
        <w:rPr>
          <w:rFonts w:ascii="Times New Roman" w:hAnsi="Times New Roman" w:cs="Times New Roman"/>
          <w:sz w:val="24"/>
          <w:szCs w:val="24"/>
          <w:lang w:val="en-ZW"/>
        </w:rPr>
      </w:pPr>
    </w:p>
    <w:p w14:paraId="3792260F" w14:textId="77777777"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5.2 Conclusions</w:t>
      </w:r>
    </w:p>
    <w:p w14:paraId="7CCACF3C"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research successfully designed and developed a real-time mobile-money AML decision-support prototype that combined transaction processing, historical behavioural analysis, machine-learning classification, alert management, investigation support and real-time monitoring.</w:t>
      </w:r>
    </w:p>
    <w:p w14:paraId="0B7D1D12"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study demonstrated that suspicious mobile-money behaviour could be represented through multiple behavioural dimensions rather than considering transaction amount alone. The final feature architecture consisted of 30 features comprising six structuring features, ten wallet/transaction-network features and fourteen agent features.</w:t>
      </w:r>
    </w:p>
    <w:p w14:paraId="59D10125"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 xml:space="preserve">A major methodological consideration was ensuring that the machine-learning model analysed historical information without accessing future transactions. The implemented feature-generation process used only transactions occurring before the transaction being evaluated. This approach </w:t>
      </w:r>
      <w:r w:rsidRPr="00835BD6">
        <w:rPr>
          <w:rFonts w:ascii="Times New Roman" w:hAnsi="Times New Roman" w:cs="Times New Roman"/>
          <w:sz w:val="24"/>
          <w:szCs w:val="24"/>
          <w:lang w:val="en-ZW"/>
        </w:rPr>
        <w:lastRenderedPageBreak/>
        <w:t>was consistent with the importance of time-aware AML monitoring identified in previous research [6].</w:t>
      </w:r>
    </w:p>
    <w:p w14:paraId="4225DED4"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final classifier was developed after comparing Logistic Regression, Random Forest and Gradient Boosting. Gradient Boosting achieved the strongest validation Macro F1 among the evaluated candidates and was subsequently selected. Threshold evaluation established 0.35 as the operating threshold for suspicious-pattern classification.</w:t>
      </w:r>
    </w:p>
    <w:p w14:paraId="41E2448E"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On the final-test population, the frozen Gradient Boosting classifier achieved an accuracy of 0.8984, Balanced Accuracy of 0.7352 and Macro F1 of 0.7471. Suspicious recall was 0.5206 and suspicious precision was 0.5864. On the independent population, accuracy was 0.8784, Balanced Accuracy was 0.7348 and Macro F1 was 0.7245. Suspicious recall was 0.5458 and suspicious precision was 0.4940.</w:t>
      </w:r>
    </w:p>
    <w:p w14:paraId="206CD7C0"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These findings showed that the high overall accuracy did not mean that all suspicious activity was detected. The difference between normal-class and suspicious-class performance confirmed the importance of considering class-sensitive evaluation measures in AML machine-learning research, particularly where suspicious observations form the minority class [5].</w:t>
      </w:r>
    </w:p>
    <w:p w14:paraId="0A9DA444"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study further established that model performance differed substantially among the three behavioural dimensions. Wallet/transaction-network behaviour produced the strongest suspicious recall, achieving 70.0% on the final-test population and 74.3% on the independent population. Agent behaviour achieved recall of 61.3% and 58.8% respectively. Structuring produced the weakest results, with recall of 24.8% on the final test and 30.8% on the independent evaluation.</w:t>
      </w:r>
    </w:p>
    <w:p w14:paraId="5CB36B11"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results therefore showed that the system was more effective at recognising the generated network and agent behavioural patterns than the generated structuring patterns. The study did not establish that the classifier was equally effective across all AML behaviours.</w:t>
      </w:r>
    </w:p>
    <w:p w14:paraId="6A1F4503"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Controlled follow-up experiments also showed that increasing model or feature complexity did not automatically improve the system. XGBoost did not produce sufficiently consistent improvement to replace the official Gradient Boosting classifier. Similarly, expanding the feature architecture from 30 to 34 features did not produce the required improvement in structuring detection and adversely affected other aspects of performance. The original 30-feature Gradient Boosting configuration was consequently retained.</w:t>
      </w:r>
    </w:p>
    <w:p w14:paraId="4CA77C20"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lastRenderedPageBreak/>
        <w:t>The machine-learning component was successfully integrated into the wider mobile-money application. Transactions were validated and persisted before historical behavioural features were generated. The resulting feature vector was processed by the frozen classifier, after which the model output was incorporated into the wider AML decision-support workflow. Relevant events could subsequently be communicated to monitoring interfaces using Socket.IO.</w:t>
      </w:r>
    </w:p>
    <w:p w14:paraId="5051B104" w14:textId="77777777" w:rsid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system maintained an important distinction between suspicious-pattern classification and determination of money laundering. The classifier identified behavioural patterns for potential investigation; it did not determine criminal intent. This supported the intended human-in-the-loop approach, in which machine learning assists investigators rather than replacing AML decision-making. Similar AML research has considered machine learning as a mechanism for prioritising transactions for manual investigation [19].</w:t>
      </w:r>
    </w:p>
    <w:p w14:paraId="7E7AE2CF" w14:textId="77777777" w:rsidR="00F54311" w:rsidRPr="00835BD6" w:rsidRDefault="00F54311" w:rsidP="00835BD6">
      <w:pPr>
        <w:spacing w:line="360" w:lineRule="auto"/>
        <w:jc w:val="both"/>
        <w:rPr>
          <w:rFonts w:ascii="Times New Roman" w:hAnsi="Times New Roman" w:cs="Times New Roman"/>
          <w:sz w:val="24"/>
          <w:szCs w:val="24"/>
          <w:lang w:val="en-ZW"/>
        </w:rPr>
      </w:pPr>
    </w:p>
    <w:p w14:paraId="6900B4AD" w14:textId="77777777"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5.3 Conclusions Based on the Research Objectives</w:t>
      </w:r>
    </w:p>
    <w:p w14:paraId="5B2042F6" w14:textId="77777777"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5.3.1 Objective 1: Real-Time Mobile-Money Transaction Processing and Monitoring</w:t>
      </w:r>
    </w:p>
    <w:p w14:paraId="7FB5C9B4"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first objective was to design and implement a real-time mobile-money transaction processing and monitoring engine for processing Cash-In, Cash-Out and Wallet-to-Wallet transactions.</w:t>
      </w:r>
    </w:p>
    <w:p w14:paraId="7C0805A2"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This objective was achieved within the research environment. The implemented application supported the required transaction types, validated transaction information and stored transaction records in the MySQL database. Transaction activity was connected to the behavioural-analysis and monitoring components of the application.</w:t>
      </w:r>
    </w:p>
    <w:p w14:paraId="5ACD12CF"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Real-time communication was implemented through Flask-SocketIO/Socket.IO, allowing relevant transaction and AML events to be communicated to connected monitoring interfaces.</w:t>
      </w:r>
    </w:p>
    <w:p w14:paraId="08576BE4" w14:textId="77777777" w:rsid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research therefore established the transaction-processing foundation required for the subsequent behavioural and machine-learning components.</w:t>
      </w:r>
    </w:p>
    <w:p w14:paraId="488B2E10" w14:textId="77777777" w:rsidR="00D87CF4" w:rsidRPr="00835BD6" w:rsidRDefault="00D87CF4" w:rsidP="00835BD6">
      <w:pPr>
        <w:spacing w:line="360" w:lineRule="auto"/>
        <w:jc w:val="both"/>
        <w:rPr>
          <w:rFonts w:ascii="Times New Roman" w:hAnsi="Times New Roman" w:cs="Times New Roman"/>
          <w:sz w:val="24"/>
          <w:szCs w:val="24"/>
          <w:lang w:val="en-ZW"/>
        </w:rPr>
      </w:pPr>
    </w:p>
    <w:p w14:paraId="1CD2B165" w14:textId="77777777"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5.3.2 Objective 2: Behavioural Analysis</w:t>
      </w:r>
    </w:p>
    <w:p w14:paraId="59EC1F92"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lastRenderedPageBreak/>
        <w:t>The second objective was to design and implement behavioural analysis mechanisms for detecting structuring, wallet/transaction-network and agent behavioural patterns from mobile-money transaction activity.</w:t>
      </w:r>
    </w:p>
    <w:p w14:paraId="52840080"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This objective was achieved through the implementation of the 30-feature behavioural architecture. Six features represented structuring behaviour, ten represented wallet/transaction-network behaviour and fourteen represented agent behaviour.</w:t>
      </w:r>
    </w:p>
    <w:p w14:paraId="2D140DE3"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evaluation demonstrated that the three feature groups provided different levels of discriminatory information. Network and agent features supported comparatively stronger suspicious-pattern detection, while the structuring representation remained considerably weaker.</w:t>
      </w:r>
    </w:p>
    <w:p w14:paraId="756579B4" w14:textId="77777777" w:rsid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research therefore demonstrated the feasibility of incorporating all three behavioural dimensions into a common analytical pipeline while also identifying structuring analysis as an area requiring substantial future improvement.</w:t>
      </w:r>
    </w:p>
    <w:p w14:paraId="3AD3DE83" w14:textId="77777777" w:rsidR="00D87CF4" w:rsidRPr="00835BD6" w:rsidRDefault="00D87CF4" w:rsidP="00835BD6">
      <w:pPr>
        <w:spacing w:line="360" w:lineRule="auto"/>
        <w:jc w:val="both"/>
        <w:rPr>
          <w:rFonts w:ascii="Times New Roman" w:hAnsi="Times New Roman" w:cs="Times New Roman"/>
          <w:sz w:val="24"/>
          <w:szCs w:val="24"/>
          <w:lang w:val="en-ZW"/>
        </w:rPr>
      </w:pPr>
    </w:p>
    <w:p w14:paraId="50FAF017" w14:textId="77777777"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5.3.3 Objective 3: Machine-Learning Classification</w:t>
      </w:r>
    </w:p>
    <w:p w14:paraId="45D98C61"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third objective was to develop and integrate a machine-learning classification mechanism that used the identified behavioural features to classify mobile-money transactions as normal or suspicious patterns.</w:t>
      </w:r>
    </w:p>
    <w:p w14:paraId="45EB3FE7"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This objective was achieved through the development, evaluation and integration of the Gradient Boosting classifier.</w:t>
      </w:r>
    </w:p>
    <w:p w14:paraId="6CFF5283"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classifier demonstrated useful discrimination between the two classes, with ROC-AUC values of 0.8474 on the final-test population and 0.8297 on the independent population. However, suspicious recall remained moderate.</w:t>
      </w:r>
    </w:p>
    <w:p w14:paraId="1A0D6460" w14:textId="77777777" w:rsid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results therefore demonstrated that machine learning could contribute to the identification of suspicious behavioural patterns within the controlled dataset but could not identify every suspicious example. This conclusion is consistent with the wider challenges associated with applying machine learning to AML data, including class imbalance, complex behavioural patterns and limited labelled suspicious data [5].</w:t>
      </w:r>
    </w:p>
    <w:p w14:paraId="65274289" w14:textId="77777777" w:rsidR="00B70529" w:rsidRPr="00835BD6" w:rsidRDefault="00B70529" w:rsidP="00835BD6">
      <w:pPr>
        <w:spacing w:line="360" w:lineRule="auto"/>
        <w:jc w:val="both"/>
        <w:rPr>
          <w:rFonts w:ascii="Times New Roman" w:hAnsi="Times New Roman" w:cs="Times New Roman"/>
          <w:sz w:val="24"/>
          <w:szCs w:val="24"/>
          <w:lang w:val="en-ZW"/>
        </w:rPr>
      </w:pPr>
    </w:p>
    <w:p w14:paraId="0ED08939" w14:textId="77777777"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5.3.4 Objective 4: AML Alert and Investigation Workflow</w:t>
      </w:r>
    </w:p>
    <w:p w14:paraId="712D1B15"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fourth objective was to implement a real-time AML alert and investigation workflow that processed model detections and presented suspicious transaction information to authorised system users.</w:t>
      </w:r>
    </w:p>
    <w:p w14:paraId="6A74EA7D"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This objective was achieved through integration of the analytical components with the application's AML workflow. Relevant suspicious information could be presented through alerts and subsequently reviewed by authorised compliance personnel.</w:t>
      </w:r>
    </w:p>
    <w:p w14:paraId="2254B2FA"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application supported investigation activities including review of transaction evidence, investigation notes, assignment, escalation and resolution.</w:t>
      </w:r>
    </w:p>
    <w:p w14:paraId="2662D413" w14:textId="77777777" w:rsid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resulting workflow was consistent with the role of AML machine learning as decision support for human investigation rather than autonomous determination of criminal activity [19].</w:t>
      </w:r>
    </w:p>
    <w:p w14:paraId="054EFD7D" w14:textId="77777777" w:rsidR="00F06F77" w:rsidRPr="00835BD6" w:rsidRDefault="00F06F77" w:rsidP="00835BD6">
      <w:pPr>
        <w:spacing w:line="360" w:lineRule="auto"/>
        <w:jc w:val="both"/>
        <w:rPr>
          <w:rFonts w:ascii="Times New Roman" w:hAnsi="Times New Roman" w:cs="Times New Roman"/>
          <w:sz w:val="24"/>
          <w:szCs w:val="24"/>
          <w:lang w:val="en-ZW"/>
        </w:rPr>
      </w:pPr>
    </w:p>
    <w:p w14:paraId="386E99AC" w14:textId="77777777"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5.3.5 Objective 5: Real-Time AML Dashboard</w:t>
      </w:r>
    </w:p>
    <w:p w14:paraId="060A1AE1"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fifth objective was to implement a system dashboard for displaying real-time transaction activity, suspicious transaction alerts and investigation information to support AML monitoring.</w:t>
      </w:r>
    </w:p>
    <w:p w14:paraId="4CB5D07A"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This objective was achieved through the implementation of browser-based monitoring interfaces integrated with the transaction, alert and investigation components of the application.</w:t>
      </w:r>
    </w:p>
    <w:p w14:paraId="760BAEA2"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Socket.IO communication enabled relevant updates to be presented to connected interfaces without requiring the entire page to be manually refreshed after each system event.</w:t>
      </w:r>
    </w:p>
    <w:p w14:paraId="393786A5" w14:textId="77777777" w:rsid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dashboard therefore provided an operational interface through which authorised users could interact with the results generated by the wider AML decision-support system.</w:t>
      </w:r>
    </w:p>
    <w:p w14:paraId="7F875AD9" w14:textId="77777777" w:rsidR="00BA2310" w:rsidRPr="00835BD6" w:rsidRDefault="00BA2310" w:rsidP="00835BD6">
      <w:pPr>
        <w:spacing w:line="360" w:lineRule="auto"/>
        <w:jc w:val="both"/>
        <w:rPr>
          <w:rFonts w:ascii="Times New Roman" w:hAnsi="Times New Roman" w:cs="Times New Roman"/>
          <w:sz w:val="24"/>
          <w:szCs w:val="24"/>
          <w:lang w:val="en-ZW"/>
        </w:rPr>
      </w:pPr>
    </w:p>
    <w:p w14:paraId="22354348" w14:textId="77777777"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5.4 Overall Research Conclusion</w:t>
      </w:r>
    </w:p>
    <w:p w14:paraId="7062E4BD"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 xml:space="preserve">The overall aim of the research was to design and develop a real-time mobile-money AML decision-support system that analysed structuring, wallet/transaction-network and agent </w:t>
      </w:r>
      <w:r w:rsidRPr="00835BD6">
        <w:rPr>
          <w:rFonts w:ascii="Times New Roman" w:hAnsi="Times New Roman" w:cs="Times New Roman"/>
          <w:sz w:val="24"/>
          <w:szCs w:val="24"/>
          <w:lang w:val="en-ZW"/>
        </w:rPr>
        <w:lastRenderedPageBreak/>
        <w:t>behavioural patterns to identify suspicious mobile-money activity for further investigation within the Zimbabwean mobile-money environment.</w:t>
      </w:r>
    </w:p>
    <w:p w14:paraId="1CEE20B9"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research achieved this aim within the defined prototype scope.</w:t>
      </w:r>
    </w:p>
    <w:p w14:paraId="766A08A2"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completed system integrated mobile-money transaction processing, temporal behavioural feature generation, machine-learning classification, application-level AML processing, alert management, investigation support and real-time monitoring.</w:t>
      </w:r>
    </w:p>
    <w:p w14:paraId="5CDA2E3A"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research also demonstrated the importance of designing the machine-learning methodology independently from application rules. Ground-truth labels were not derived directly from application risk scores or rule outputs, reducing the possibility that the classifier merely learned to reproduce an existing rule engine.</w:t>
      </w:r>
    </w:p>
    <w:p w14:paraId="392C5F2E"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independent-evaluation results provided additional evidence that the classifier retained useful behaviour when evaluated against synthetic wallets and agents that were separated from the model-development populations. However, the reduction in suspicious precision demonstrated that performance varied between populations.</w:t>
      </w:r>
    </w:p>
    <w:p w14:paraId="764C4811"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study consequently concluded that the developed approach was suitable as a research prototype for supporting the identification and investigation of suspicious mobile-money behavioural patterns. It did not demonstrate that the system was ready for direct operational deployment or that the classifier could independently determine whether money laundering had occurred.</w:t>
      </w:r>
    </w:p>
    <w:p w14:paraId="6775A4A4" w14:textId="77777777" w:rsid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This distinction is particularly important because technological AML tools should support effective monitoring and investigation while remaining part of a wider risk-management and human decision-making process [9], [10].</w:t>
      </w:r>
    </w:p>
    <w:p w14:paraId="70A5AAAB" w14:textId="77777777" w:rsidR="00BA2310" w:rsidRPr="00835BD6" w:rsidRDefault="00BA2310" w:rsidP="00835BD6">
      <w:pPr>
        <w:spacing w:line="360" w:lineRule="auto"/>
        <w:jc w:val="both"/>
        <w:rPr>
          <w:rFonts w:ascii="Times New Roman" w:hAnsi="Times New Roman" w:cs="Times New Roman"/>
          <w:sz w:val="24"/>
          <w:szCs w:val="24"/>
          <w:lang w:val="en-ZW"/>
        </w:rPr>
      </w:pPr>
    </w:p>
    <w:p w14:paraId="273A1A25" w14:textId="77777777"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5.5 Research Limitations</w:t>
      </w:r>
    </w:p>
    <w:p w14:paraId="7B09CCDD"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Several limitations were identified during the research.</w:t>
      </w:r>
    </w:p>
    <w:p w14:paraId="420528CE"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 xml:space="preserve">The first limitation was the use of synthetic transaction data. Access to genuine labelled money-laundering transaction datasets is difficult because of privacy, confidentiality and the limited </w:t>
      </w:r>
      <w:r w:rsidRPr="00835BD6">
        <w:rPr>
          <w:rFonts w:ascii="Times New Roman" w:hAnsi="Times New Roman" w:cs="Times New Roman"/>
          <w:sz w:val="24"/>
          <w:szCs w:val="24"/>
          <w:lang w:val="en-ZW"/>
        </w:rPr>
        <w:lastRenderedPageBreak/>
        <w:t>availability of confirmed suspicious examples. Synthetic datasets can address some of these research constraints by providing controlled ground truth [7]. However, synthetic data cannot reproduce every behavioural, economic and operational characteristic of a real mobile-money environment.</w:t>
      </w:r>
    </w:p>
    <w:p w14:paraId="5AFB3DAD"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second limitation was the absence of direct validation using transaction data from a Zimbabwean mobile-money operator. The evaluation therefore established performance only within the controlled research environment.</w:t>
      </w:r>
    </w:p>
    <w:p w14:paraId="737A03B1"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third limitation was moderate suspicious recall. The final classifier detected approximately 52.1% of suspicious examples on the final-test population and 54.6% on the independent population. A significant proportion of suspicious examples therefore remained undetected.</w:t>
      </w:r>
    </w:p>
    <w:p w14:paraId="2AEC8215"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fourth and most significant behavioural limitation was structuring detection. Structuring recall was only 24.8% on the final-test population and 30.8% on the independent population. This indicated that the selected structuring features did not adequately separate some generated structuring scenarios from normal transaction behaviour.</w:t>
      </w:r>
    </w:p>
    <w:p w14:paraId="4E471EF1"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fifth limitation was the occurrence of false positives. False-positive classifications would increase the workload of compliance personnel if similar behaviour occurred in an operational environment. This reinforces the importance of using model outputs to support prioritisation and investigation rather than automatically treating every flagged transaction as money laundering [19].</w:t>
      </w:r>
    </w:p>
    <w:p w14:paraId="197AF00D"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sixth limitation was potential model drift. The final classifier was frozen after development, but transaction behaviour can change over time. Changes in customer behaviour, agent activity, laundering strategies and mobile-money usage could reduce model performance if a deployed classifier were not monitored and periodically reassessed.</w:t>
      </w:r>
    </w:p>
    <w:p w14:paraId="1C57D6CD"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seventh limitation was the absence of live external infrastructure. The prototype was not connected to a live mobile-money operator, telecommunications infrastructure, national identity systems or regulatory reporting platforms.</w:t>
      </w:r>
    </w:p>
    <w:p w14:paraId="70D83329"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lastRenderedPageBreak/>
        <w:t>Finally, the system could identify suspicious behavioural patterns but could not determine criminal intent. Confirmation of money laundering would require further investigation and information beyond the transaction patterns available to the classifier.</w:t>
      </w:r>
    </w:p>
    <w:p w14:paraId="345EDB1A" w14:textId="77777777" w:rsidR="007453FC" w:rsidRDefault="007453FC" w:rsidP="00835BD6">
      <w:pPr>
        <w:spacing w:line="360" w:lineRule="auto"/>
        <w:jc w:val="both"/>
        <w:rPr>
          <w:rFonts w:ascii="Times New Roman" w:hAnsi="Times New Roman" w:cs="Times New Roman"/>
          <w:b/>
          <w:bCs/>
          <w:sz w:val="24"/>
          <w:szCs w:val="24"/>
          <w:lang w:val="en-ZW"/>
        </w:rPr>
      </w:pPr>
    </w:p>
    <w:p w14:paraId="312FB10B" w14:textId="426B95CE"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5.6 Recommendations</w:t>
      </w:r>
    </w:p>
    <w:p w14:paraId="0DA7C44C"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Based on the research findings, several recommendations are proposed.</w:t>
      </w:r>
    </w:p>
    <w:p w14:paraId="0BDA9158" w14:textId="77777777" w:rsidR="00684135" w:rsidRDefault="00684135" w:rsidP="00835BD6">
      <w:pPr>
        <w:spacing w:line="360" w:lineRule="auto"/>
        <w:jc w:val="both"/>
        <w:rPr>
          <w:rFonts w:ascii="Times New Roman" w:hAnsi="Times New Roman" w:cs="Times New Roman"/>
          <w:b/>
          <w:bCs/>
          <w:sz w:val="24"/>
          <w:szCs w:val="24"/>
          <w:lang w:val="en-ZW"/>
        </w:rPr>
      </w:pPr>
    </w:p>
    <w:p w14:paraId="78224E27" w14:textId="5DA486F7"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5.6.1 Validation Using Operational Mobile-Money Data</w:t>
      </w:r>
    </w:p>
    <w:p w14:paraId="571D375C"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Future research should evaluate the methodology using appropriately anonymised or de-identified operational mobile-money transaction data where lawful access can be obtained.</w:t>
      </w:r>
    </w:p>
    <w:p w14:paraId="16E1B4BE"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synthetic dataset provided a controlled environment for model development and evaluation, but operational data would contain behavioural variation that could not be fully represented by simulation [7].</w:t>
      </w:r>
    </w:p>
    <w:p w14:paraId="6BDF9B36"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Such evaluation should initially be conducted offline rather than immediately placing the classifier into operational decision-making. Performance could then be compared with historical investigation outcomes or appropriately constructed expert-reviewed labels.</w:t>
      </w:r>
    </w:p>
    <w:p w14:paraId="2492C617" w14:textId="77777777" w:rsidR="00684135" w:rsidRDefault="00684135" w:rsidP="00835BD6">
      <w:pPr>
        <w:spacing w:line="360" w:lineRule="auto"/>
        <w:jc w:val="both"/>
        <w:rPr>
          <w:rFonts w:ascii="Times New Roman" w:hAnsi="Times New Roman" w:cs="Times New Roman"/>
          <w:b/>
          <w:bCs/>
          <w:sz w:val="24"/>
          <w:szCs w:val="24"/>
          <w:lang w:val="en-ZW"/>
        </w:rPr>
      </w:pPr>
    </w:p>
    <w:p w14:paraId="7C525DAD" w14:textId="5B0687C0"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5.6.2 Improvement of Structuring Detection</w:t>
      </w:r>
    </w:p>
    <w:p w14:paraId="7EE0A7CF"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Structuring detection should receive particular attention in future development because it was the weakest behavioural dimension.</w:t>
      </w:r>
    </w:p>
    <w:p w14:paraId="0B92BB0B"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Future research should investigate improved temporal representations of fragmented transaction behaviour, including longer and multiple observation windows, transaction sequences, relationships between deposits and withdrawals, adaptive behavioural baselines and changes in transaction frequency over time.</w:t>
      </w:r>
    </w:p>
    <w:p w14:paraId="171E5ECE"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lastRenderedPageBreak/>
        <w:t>However, additional features should not be accepted solely because they increase feature count. The rejected 34-feature experiment demonstrated that new features should be retained only when controlled evaluation shows meaningful improvement.</w:t>
      </w:r>
    </w:p>
    <w:p w14:paraId="2588C64F" w14:textId="77777777" w:rsidR="00684135" w:rsidRDefault="00684135" w:rsidP="00835BD6">
      <w:pPr>
        <w:spacing w:line="360" w:lineRule="auto"/>
        <w:jc w:val="both"/>
        <w:rPr>
          <w:rFonts w:ascii="Times New Roman" w:hAnsi="Times New Roman" w:cs="Times New Roman"/>
          <w:b/>
          <w:bCs/>
          <w:sz w:val="24"/>
          <w:szCs w:val="24"/>
          <w:lang w:val="en-ZW"/>
        </w:rPr>
      </w:pPr>
    </w:p>
    <w:p w14:paraId="0327B518" w14:textId="2DC62511"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5.6.3 Further Investigation of Network-Based Techniques</w:t>
      </w:r>
    </w:p>
    <w:p w14:paraId="255B0C4C"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Wallet/transaction-network behaviour produced the strongest suspicious recall in the research. Future work could therefore investigate more explicit graph-based representations of the mobile-money network.</w:t>
      </w:r>
    </w:p>
    <w:p w14:paraId="30F38A64"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Wallets and agents could be represented as nodes, while transactions could be represented as directed edges. Graph-based techniques could then be investigated for identifying unusual communities, transaction cycles, concentration patterns, pass-through structures and multi-wallet relationships.</w:t>
      </w:r>
    </w:p>
    <w:p w14:paraId="0A10F373"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Previous AML research has demonstrated the potential value of analysing relationships between financial entities rather than considering transactions only as independent records [15].</w:t>
      </w:r>
    </w:p>
    <w:p w14:paraId="47584371"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Any future graph-based model should nevertheless be compared experimentally with the current tabular network features rather than being assumed to provide better performance.</w:t>
      </w:r>
    </w:p>
    <w:p w14:paraId="45A91566" w14:textId="77777777" w:rsidR="00684135" w:rsidRDefault="00684135" w:rsidP="00835BD6">
      <w:pPr>
        <w:spacing w:line="360" w:lineRule="auto"/>
        <w:jc w:val="both"/>
        <w:rPr>
          <w:rFonts w:ascii="Times New Roman" w:hAnsi="Times New Roman" w:cs="Times New Roman"/>
          <w:b/>
          <w:bCs/>
          <w:sz w:val="24"/>
          <w:szCs w:val="24"/>
          <w:lang w:val="en-ZW"/>
        </w:rPr>
      </w:pPr>
    </w:p>
    <w:p w14:paraId="20201687" w14:textId="0B2C82F8"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5.6.4 Model Monitoring and Controlled Retraining</w:t>
      </w:r>
    </w:p>
    <w:p w14:paraId="0A0CEFAB"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A future operational implementation should include model-performance monitoring.</w:t>
      </w:r>
    </w:p>
    <w:p w14:paraId="2D53368F"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Changes in transaction behaviour could affect the relationship between the 30 features and suspicious activity. Performance measures such as suspicious recall, precision, false-positive rate and alert volumes should therefore be monitored over time.</w:t>
      </w:r>
    </w:p>
    <w:p w14:paraId="6C60D1B4"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Where evidence of significant performance deterioration is observed, controlled retraining could be conducted using newer appropriately labelled data.</w:t>
      </w:r>
    </w:p>
    <w:p w14:paraId="5959EAB6"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Retraining should preserve the temporal and entity-isolation principles used in this research to reduce the risk of data leakage [6].</w:t>
      </w:r>
    </w:p>
    <w:p w14:paraId="4FF2D9AD" w14:textId="77777777" w:rsidR="00684135" w:rsidRDefault="00684135" w:rsidP="00835BD6">
      <w:pPr>
        <w:spacing w:line="360" w:lineRule="auto"/>
        <w:jc w:val="both"/>
        <w:rPr>
          <w:rFonts w:ascii="Times New Roman" w:hAnsi="Times New Roman" w:cs="Times New Roman"/>
          <w:b/>
          <w:bCs/>
          <w:sz w:val="24"/>
          <w:szCs w:val="24"/>
          <w:lang w:val="en-ZW"/>
        </w:rPr>
      </w:pPr>
    </w:p>
    <w:p w14:paraId="698E3FED" w14:textId="02A6B177"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5.6.5 Human Review and Explainability</w:t>
      </w:r>
    </w:p>
    <w:p w14:paraId="113751F3"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Human investigation should remain part of the AML decision process.</w:t>
      </w:r>
    </w:p>
    <w:p w14:paraId="124F8B81"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system should provide investigators with relevant behavioural evidence supporting an alert rather than displaying only a probability score. Examples could include unusual transaction frequency, new counterparties, concentrated wallet relationships, rapid movement of funds and abnormal agent activity.</w:t>
      </w:r>
    </w:p>
    <w:p w14:paraId="10A79E7F"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This would allow compliance personnel to understand why a transaction required further examination and combine the analytical result with other information available during investigation.</w:t>
      </w:r>
    </w:p>
    <w:p w14:paraId="09781E52"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Machine-learning research in AML has similarly emphasised the practical importance of connecting automated detection with manual investigation [19].</w:t>
      </w:r>
    </w:p>
    <w:p w14:paraId="32E3FC32" w14:textId="77777777" w:rsidR="00684135" w:rsidRDefault="00684135" w:rsidP="00835BD6">
      <w:pPr>
        <w:spacing w:line="360" w:lineRule="auto"/>
        <w:jc w:val="both"/>
        <w:rPr>
          <w:rFonts w:ascii="Times New Roman" w:hAnsi="Times New Roman" w:cs="Times New Roman"/>
          <w:b/>
          <w:bCs/>
          <w:sz w:val="24"/>
          <w:szCs w:val="24"/>
          <w:lang w:val="en-ZW"/>
        </w:rPr>
      </w:pPr>
    </w:p>
    <w:p w14:paraId="602FDB65" w14:textId="3295AB93"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5.6.6 False-Positive Management</w:t>
      </w:r>
    </w:p>
    <w:p w14:paraId="2700A6F5"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Future development should investigate mechanisms for reducing unnecessary investigation workload without substantially reducing suspicious recall.</w:t>
      </w:r>
    </w:p>
    <w:p w14:paraId="5F11C2BE"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This could include alert prioritisation, risk-based investigation queues, contextual information, behavioural explanations and carefully validated operating thresholds.</w:t>
      </w:r>
    </w:p>
    <w:p w14:paraId="4768E6A3"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Threshold adjustments should be evaluated against both false-positive and false-negative consequences. The 0.35 threshold selected in this research should therefore not be treated as a permanent or universally appropriate AML threshold.</w:t>
      </w:r>
    </w:p>
    <w:p w14:paraId="406E2D75" w14:textId="77777777" w:rsidR="00684135" w:rsidRDefault="00684135" w:rsidP="00835BD6">
      <w:pPr>
        <w:spacing w:line="360" w:lineRule="auto"/>
        <w:jc w:val="both"/>
        <w:rPr>
          <w:rFonts w:ascii="Times New Roman" w:hAnsi="Times New Roman" w:cs="Times New Roman"/>
          <w:b/>
          <w:bCs/>
          <w:sz w:val="24"/>
          <w:szCs w:val="24"/>
          <w:lang w:val="en-ZW"/>
        </w:rPr>
      </w:pPr>
    </w:p>
    <w:p w14:paraId="1E64DF79" w14:textId="6F4EE32D"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5.6.7 Security and Operational Testing</w:t>
      </w:r>
    </w:p>
    <w:p w14:paraId="1EDDD9C9"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Before any operational use, the system would require security and scalability testing beyond that conducted for the research prototype.</w:t>
      </w:r>
    </w:p>
    <w:p w14:paraId="3FF8A9AB"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lastRenderedPageBreak/>
        <w:t>This should include penetration testing, database security review, access-control testing, encryption of sensitive information, audit-log protection, backup and recovery testing, concurrent-user testing and transaction-volume testing.</w:t>
      </w:r>
    </w:p>
    <w:p w14:paraId="4191E10F"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Such work would be necessary because a functional academic prototype and an operational financial monitoring platform have different security, reliability and governance requirements.</w:t>
      </w:r>
    </w:p>
    <w:p w14:paraId="7966E542" w14:textId="77777777" w:rsidR="00684135" w:rsidRDefault="00684135" w:rsidP="00835BD6">
      <w:pPr>
        <w:spacing w:line="360" w:lineRule="auto"/>
        <w:jc w:val="both"/>
        <w:rPr>
          <w:rFonts w:ascii="Times New Roman" w:hAnsi="Times New Roman" w:cs="Times New Roman"/>
          <w:b/>
          <w:bCs/>
          <w:sz w:val="24"/>
          <w:szCs w:val="24"/>
          <w:lang w:val="en-ZW"/>
        </w:rPr>
      </w:pPr>
    </w:p>
    <w:p w14:paraId="1473D16C" w14:textId="5DD2C1EF"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5.6.8 Regulatory and Organisational Validation</w:t>
      </w:r>
    </w:p>
    <w:p w14:paraId="3A35CEF6"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Future implementation should be reviewed against the requirements applicable to the organisation and jurisdiction in which it would operate.</w:t>
      </w:r>
    </w:p>
    <w:p w14:paraId="3D518C15"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research system was designed as a decision-support prototype and should not be interpreted as an automated replacement for regulatory AML obligations. FATF has recognised that new technologies can strengthen AML/CFT effectiveness while also requiring appropriate governance, risk management and human oversight [9], [10].</w:t>
      </w:r>
    </w:p>
    <w:p w14:paraId="7C77DDDD"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Any future integration with external suspicious-transaction reporting processes should therefore be implemented only after the applicable legal, organisational and regulatory requirements have been established.</w:t>
      </w:r>
    </w:p>
    <w:p w14:paraId="796B363C" w14:textId="77777777" w:rsidR="00684135" w:rsidRDefault="00684135" w:rsidP="00835BD6">
      <w:pPr>
        <w:spacing w:line="360" w:lineRule="auto"/>
        <w:jc w:val="both"/>
        <w:rPr>
          <w:rFonts w:ascii="Times New Roman" w:hAnsi="Times New Roman" w:cs="Times New Roman"/>
          <w:b/>
          <w:bCs/>
          <w:sz w:val="24"/>
          <w:szCs w:val="24"/>
          <w:lang w:val="en-ZW"/>
        </w:rPr>
      </w:pPr>
    </w:p>
    <w:p w14:paraId="1D875821" w14:textId="7B760358"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5.7 Areas for Future Research</w:t>
      </w:r>
    </w:p>
    <w:p w14:paraId="6C4CB2BE"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Several areas arise directly from the findings of this study.</w:t>
      </w:r>
    </w:p>
    <w:p w14:paraId="55720B2C"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Further research could investigate sequence-based models capable of learning transaction behaviour across time rather than relying entirely on manually constructed aggregate features. Such work should be compared with the current Gradient Boosting baseline under the same leakage-safe evaluation methodology.</w:t>
      </w:r>
    </w:p>
    <w:p w14:paraId="13238369"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Graph-based learning could also be investigated because network behaviour produced the strongest detection results in the present research. Graph neural networks or other graph-based anomaly-detection techniques could potentially model relationships that are difficult to represent through aggregate counterparty features.</w:t>
      </w:r>
    </w:p>
    <w:p w14:paraId="54750040"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lastRenderedPageBreak/>
        <w:t>A further research direction would be hybrid modelling in which supervised classification is combined with anomaly detection. This could allow the system to identify known suspicious behavioural patterns while also identifying unusual activity that differs from previously labelled examples. However, anomaly scores should not automatically be interpreted as evidence of money laundering.</w:t>
      </w:r>
    </w:p>
    <w:p w14:paraId="27977E6E"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Future research could also investigate improved explainability. Investigator-oriented explanations could identify the historical behavioural factors that contributed most strongly to a suspicious classification. This could improve transparency and assist compliance personnel when reviewing alerts.</w:t>
      </w:r>
    </w:p>
    <w:p w14:paraId="79D9FA01"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synthetic data-generation process could also be extended to represent greater behavioural diversity, longer transaction histories, seasonal changes, different wallet activity levels and more complex interactions between wallets and agents.</w:t>
      </w:r>
    </w:p>
    <w:p w14:paraId="3A58F379"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Finally, future research should evaluate the system using independently obtained operational data where lawful and ethically appropriate access becomes available. Such evaluation would provide stronger evidence regarding whether the patterns learned from the research dataset generalise to genuine mobile-money activity.</w:t>
      </w:r>
    </w:p>
    <w:p w14:paraId="7A484F13" w14:textId="77777777" w:rsidR="00684135" w:rsidRDefault="00684135" w:rsidP="00835BD6">
      <w:pPr>
        <w:spacing w:line="360" w:lineRule="auto"/>
        <w:jc w:val="both"/>
        <w:rPr>
          <w:rFonts w:ascii="Times New Roman" w:hAnsi="Times New Roman" w:cs="Times New Roman"/>
          <w:b/>
          <w:bCs/>
          <w:sz w:val="24"/>
          <w:szCs w:val="24"/>
          <w:lang w:val="en-ZW"/>
        </w:rPr>
      </w:pPr>
    </w:p>
    <w:p w14:paraId="01812D39" w14:textId="210C91F6"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5.8 Final Remarks</w:t>
      </w:r>
    </w:p>
    <w:p w14:paraId="53B08307"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research demonstrated that artificial intelligence could be incorporated into a mobile-money AML decision-support workflow without treating machine-learning output as proof of financial crime.</w:t>
      </w:r>
    </w:p>
    <w:p w14:paraId="359F7A89"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developed system analysed historical mobile-money behaviour across structuring, wallet/transaction-network and agent dimensions and used a frozen Gradient Boosting classifier to identify suspicious patterns. These results were subsequently incorporated into an application containing alerts, investigation functionality and real-time monitoring.</w:t>
      </w:r>
    </w:p>
    <w:p w14:paraId="422CBAA7"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strongest results were obtained for wallet/transaction-network behaviour, while structuring remained the principal analytical weakness. The independent evaluation also demonstrated that model performance could change when applied to a separate population.</w:t>
      </w:r>
    </w:p>
    <w:p w14:paraId="49016D30"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lastRenderedPageBreak/>
        <w:t>The project therefore showed both the potential and limitations of machine-learning-supported AML monitoring. The findings support continued research into behavioural, network and agent-based analysis while emphasising the importance of temporal safety, independent evaluation, transparent performance reporting and human investigation.</w:t>
      </w:r>
    </w:p>
    <w:p w14:paraId="56C6A014"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completed system should consequently be regarded as a mobile-money AML decision-support research prototype whose analytical outputs can assist the identification and investigation of suspicious behavioural patterns. Further operational data, validation, security testing and regulatory assessment would be required before considering deployment within a live mobile-money environment.</w:t>
      </w:r>
    </w:p>
    <w:p w14:paraId="1DA0B653" w14:textId="77777777" w:rsidR="00684135" w:rsidRDefault="00684135" w:rsidP="00835BD6">
      <w:pPr>
        <w:spacing w:line="360" w:lineRule="auto"/>
        <w:jc w:val="both"/>
        <w:rPr>
          <w:rFonts w:ascii="Times New Roman" w:hAnsi="Times New Roman" w:cs="Times New Roman"/>
          <w:b/>
          <w:bCs/>
          <w:sz w:val="24"/>
          <w:szCs w:val="24"/>
          <w:lang w:val="en-ZW"/>
        </w:rPr>
      </w:pPr>
    </w:p>
    <w:p w14:paraId="1CF810B6" w14:textId="430E7B65"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5.9 Summary</w:t>
      </w:r>
    </w:p>
    <w:p w14:paraId="73A5C9BD"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This chapter presented the conclusions and recommendations arising from the research.</w:t>
      </w:r>
    </w:p>
    <w:p w14:paraId="3A395DA2"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study achieved its overall aim by developing an integrated mobile-money AML decision-support prototype capable of processing mobile-money transactions, constructing historical behavioural features, performing machine-learning classification, supporting AML alerts and investigations, and providing real-time monitoring functionality.</w:t>
      </w:r>
    </w:p>
    <w:p w14:paraId="45C9E100"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All five research objectives were implemented within the research environment. However, evaluation identified important limitations, particularly moderate suspicious recall and weak structuring detection.</w:t>
      </w:r>
    </w:p>
    <w:p w14:paraId="6CC98BF9"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The study concluded that the developed approach provided useful decision-support capability within the controlled synthetic environment but did not establish operational readiness or prove that suspicious transactions represented actual money laundering.</w:t>
      </w:r>
    </w:p>
    <w:p w14:paraId="0B0BBA88"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Recommendations were therefore made for operational-data validation, improved structuring analysis, further network research, model monitoring, human-centred explainability, false-positive management, security testing and regulatory validation.</w:t>
      </w:r>
    </w:p>
    <w:p w14:paraId="5BFFBC9C"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 xml:space="preserve">These recommendations provide a foundation for extending the prototype while preserving the central principle established throughout the research: artificial intelligence should support the </w:t>
      </w:r>
      <w:r w:rsidRPr="00835BD6">
        <w:rPr>
          <w:rFonts w:ascii="Times New Roman" w:hAnsi="Times New Roman" w:cs="Times New Roman"/>
          <w:sz w:val="24"/>
          <w:szCs w:val="24"/>
          <w:lang w:val="en-ZW"/>
        </w:rPr>
        <w:lastRenderedPageBreak/>
        <w:t>identification and investigation of suspicious mobile-money behaviour rather than replace human AML judgement.</w:t>
      </w:r>
    </w:p>
    <w:p w14:paraId="61B232E9" w14:textId="77777777" w:rsidR="00684135" w:rsidRDefault="00684135" w:rsidP="00835BD6">
      <w:pPr>
        <w:spacing w:line="360" w:lineRule="auto"/>
        <w:jc w:val="both"/>
        <w:rPr>
          <w:rFonts w:ascii="Times New Roman" w:hAnsi="Times New Roman" w:cs="Times New Roman"/>
          <w:b/>
          <w:bCs/>
          <w:sz w:val="24"/>
          <w:szCs w:val="24"/>
          <w:lang w:val="en-ZW"/>
        </w:rPr>
      </w:pPr>
    </w:p>
    <w:p w14:paraId="7CF39844" w14:textId="397F3F75" w:rsidR="00835BD6" w:rsidRPr="00835BD6" w:rsidRDefault="00835BD6" w:rsidP="00835BD6">
      <w:pPr>
        <w:spacing w:line="360" w:lineRule="auto"/>
        <w:jc w:val="both"/>
        <w:rPr>
          <w:rFonts w:ascii="Times New Roman" w:hAnsi="Times New Roman" w:cs="Times New Roman"/>
          <w:b/>
          <w:bCs/>
          <w:sz w:val="24"/>
          <w:szCs w:val="24"/>
          <w:lang w:val="en-ZW"/>
        </w:rPr>
      </w:pPr>
      <w:r w:rsidRPr="00835BD6">
        <w:rPr>
          <w:rFonts w:ascii="Times New Roman" w:hAnsi="Times New Roman" w:cs="Times New Roman"/>
          <w:b/>
          <w:bCs/>
          <w:sz w:val="24"/>
          <w:szCs w:val="24"/>
          <w:lang w:val="en-ZW"/>
        </w:rPr>
        <w:t>References</w:t>
      </w:r>
    </w:p>
    <w:p w14:paraId="2825629D"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References [1]–[22] retained the numbering established in the preceding chapters. Chapter 5 introduced no new sources and reused the following previously established references.</w:t>
      </w:r>
    </w:p>
    <w:p w14:paraId="3D44E8E4"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[5] R. I. T. Jensen and A. Iosifidis, “Fighting money laundering with statistics and machine learning,” IEEE Access, vol. 11, pp. 8889–8903, 2023, doi: 10.1109/ACCESS.2023.3239549.</w:t>
      </w:r>
    </w:p>
    <w:p w14:paraId="17A75416"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[6] P. Tertychnyi, M. Godgildieva, M. Dumas, and M. Ollikainen, “Time-aware and interpretable predictive monitoring system for Anti-Money Laundering,” Machine Learning with Applications, vol. 8, Art. no. 100306, 2022, doi: 10.1016/j.mlwa.2022.100306.</w:t>
      </w:r>
    </w:p>
    <w:p w14:paraId="0951A0FE"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[7] E. R. Altman, J. Blanuša, L. von Niederhäusern, B. Egressy, A. Anghel, and K. Atasu, “Realistic synthetic financial transactions for Anti-Money Laundering models,” in Advances in Neural Information Processing Systems, vol. 36, 2023.</w:t>
      </w:r>
    </w:p>
    <w:p w14:paraId="1B99F150"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[9] Financial Action Task Force, Opportunities and Challenges of New Technologies for AML/CFT, Paris, France: FATF, 2021.</w:t>
      </w:r>
    </w:p>
    <w:p w14:paraId="7BCB5703"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[10] Financial Action Task Force and Egmont Group, Digital Transformation of AML/CFT for Operational Agencies, Paris, France: FATF, 2021.</w:t>
      </w:r>
    </w:p>
    <w:p w14:paraId="42D5FCD6"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[15] M. Weber et al., “Anti-Money Laundering in Bitcoin: Experimenting with graph convolutional networks for financial forensics,” arXiv preprint arXiv:1908.02591, 2019.</w:t>
      </w:r>
    </w:p>
    <w:p w14:paraId="26516334" w14:textId="77777777" w:rsidR="00835BD6" w:rsidRPr="00835BD6" w:rsidRDefault="00835BD6" w:rsidP="00835BD6">
      <w:pPr>
        <w:spacing w:line="360" w:lineRule="auto"/>
        <w:jc w:val="both"/>
        <w:rPr>
          <w:rFonts w:ascii="Times New Roman" w:hAnsi="Times New Roman" w:cs="Times New Roman"/>
          <w:sz w:val="24"/>
          <w:szCs w:val="24"/>
          <w:lang w:val="en-ZW"/>
        </w:rPr>
      </w:pPr>
      <w:r w:rsidRPr="00835BD6">
        <w:rPr>
          <w:rFonts w:ascii="Times New Roman" w:hAnsi="Times New Roman" w:cs="Times New Roman"/>
          <w:sz w:val="24"/>
          <w:szCs w:val="24"/>
          <w:lang w:val="en-ZW"/>
        </w:rPr>
        <w:t>[19] M. Jullum, A. Løland, R. B. Huseby, G. Ånonsen, and J. Lorentzen, “Detecting money laundering transactions with machine learning,” Journal of Money Laundering Control, vol. 23, no. 1, pp. 173–186, 2020, doi: 10.1108/JMLC-07-2019-0055.</w:t>
      </w:r>
    </w:p>
    <w:p w14:paraId="6A9AA19E" w14:textId="77777777" w:rsidR="00BD6A76" w:rsidRPr="00835BD6" w:rsidRDefault="00BD6A76" w:rsidP="00835BD6">
      <w:pPr>
        <w:spacing w:line="360" w:lineRule="auto"/>
        <w:jc w:val="both"/>
        <w:rPr>
          <w:rFonts w:ascii="Times New Roman" w:hAnsi="Times New Roman" w:cs="Times New Roman"/>
          <w:sz w:val="24"/>
          <w:szCs w:val="24"/>
        </w:rPr>
      </w:pPr>
    </w:p>
    <w:sectPr w:rsidR="00BD6A76" w:rsidRPr="00835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BD6"/>
    <w:rsid w:val="000631E2"/>
    <w:rsid w:val="005F231B"/>
    <w:rsid w:val="00684135"/>
    <w:rsid w:val="007453FC"/>
    <w:rsid w:val="00835BD6"/>
    <w:rsid w:val="008A4F6A"/>
    <w:rsid w:val="00B70529"/>
    <w:rsid w:val="00BA2310"/>
    <w:rsid w:val="00BD6A76"/>
    <w:rsid w:val="00C01858"/>
    <w:rsid w:val="00D87CF4"/>
    <w:rsid w:val="00E61322"/>
    <w:rsid w:val="00F06F77"/>
    <w:rsid w:val="00F54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79688"/>
  <w15:chartTrackingRefBased/>
  <w15:docId w15:val="{DE2C5EEF-E4AE-4A4E-A11A-56A78DC0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BD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35BD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35BD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35BD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35BD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5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BD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35BD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35BD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35BD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35BD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5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BD6"/>
    <w:rPr>
      <w:rFonts w:eastAsiaTheme="majorEastAsia" w:cstheme="majorBidi"/>
      <w:color w:val="272727" w:themeColor="text1" w:themeTint="D8"/>
    </w:rPr>
  </w:style>
  <w:style w:type="paragraph" w:styleId="Title">
    <w:name w:val="Title"/>
    <w:basedOn w:val="Normal"/>
    <w:next w:val="Normal"/>
    <w:link w:val="TitleChar"/>
    <w:uiPriority w:val="10"/>
    <w:qFormat/>
    <w:rsid w:val="00835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BD6"/>
    <w:pPr>
      <w:spacing w:before="160"/>
      <w:jc w:val="center"/>
    </w:pPr>
    <w:rPr>
      <w:i/>
      <w:iCs/>
      <w:color w:val="404040" w:themeColor="text1" w:themeTint="BF"/>
    </w:rPr>
  </w:style>
  <w:style w:type="character" w:customStyle="1" w:styleId="QuoteChar">
    <w:name w:val="Quote Char"/>
    <w:basedOn w:val="DefaultParagraphFont"/>
    <w:link w:val="Quote"/>
    <w:uiPriority w:val="29"/>
    <w:rsid w:val="00835BD6"/>
    <w:rPr>
      <w:i/>
      <w:iCs/>
      <w:color w:val="404040" w:themeColor="text1" w:themeTint="BF"/>
    </w:rPr>
  </w:style>
  <w:style w:type="paragraph" w:styleId="ListParagraph">
    <w:name w:val="List Paragraph"/>
    <w:basedOn w:val="Normal"/>
    <w:uiPriority w:val="34"/>
    <w:qFormat/>
    <w:rsid w:val="00835BD6"/>
    <w:pPr>
      <w:ind w:left="720"/>
      <w:contextualSpacing/>
    </w:pPr>
  </w:style>
  <w:style w:type="character" w:styleId="IntenseEmphasis">
    <w:name w:val="Intense Emphasis"/>
    <w:basedOn w:val="DefaultParagraphFont"/>
    <w:uiPriority w:val="21"/>
    <w:qFormat/>
    <w:rsid w:val="00835BD6"/>
    <w:rPr>
      <w:i/>
      <w:iCs/>
      <w:color w:val="2E74B5" w:themeColor="accent1" w:themeShade="BF"/>
    </w:rPr>
  </w:style>
  <w:style w:type="paragraph" w:styleId="IntenseQuote">
    <w:name w:val="Intense Quote"/>
    <w:basedOn w:val="Normal"/>
    <w:next w:val="Normal"/>
    <w:link w:val="IntenseQuoteChar"/>
    <w:uiPriority w:val="30"/>
    <w:qFormat/>
    <w:rsid w:val="00835B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5BD6"/>
    <w:rPr>
      <w:i/>
      <w:iCs/>
      <w:color w:val="2E74B5" w:themeColor="accent1" w:themeShade="BF"/>
    </w:rPr>
  </w:style>
  <w:style w:type="character" w:styleId="IntenseReference">
    <w:name w:val="Intense Reference"/>
    <w:basedOn w:val="DefaultParagraphFont"/>
    <w:uiPriority w:val="32"/>
    <w:qFormat/>
    <w:rsid w:val="00835B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549900">
      <w:bodyDiv w:val="1"/>
      <w:marLeft w:val="0"/>
      <w:marRight w:val="0"/>
      <w:marTop w:val="0"/>
      <w:marBottom w:val="0"/>
      <w:divBdr>
        <w:top w:val="none" w:sz="0" w:space="0" w:color="auto"/>
        <w:left w:val="none" w:sz="0" w:space="0" w:color="auto"/>
        <w:bottom w:val="none" w:sz="0" w:space="0" w:color="auto"/>
        <w:right w:val="none" w:sz="0" w:space="0" w:color="auto"/>
      </w:divBdr>
    </w:div>
    <w:div w:id="149633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4031</Words>
  <Characters>22983</Characters>
  <Application>Microsoft Office Word</Application>
  <DocSecurity>0</DocSecurity>
  <Lines>191</Lines>
  <Paragraphs>53</Paragraphs>
  <ScaleCrop>false</ScaleCrop>
  <Company/>
  <LinksUpToDate>false</LinksUpToDate>
  <CharactersWithSpaces>26961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prominance fungurayi</dc:creator>
  <cp:keywords/>
  <dc:description/>
  <cp:lastModifiedBy>prominance fungurayi</cp:lastModifiedBy>
  <cp:revision>10</cp:revision>
  <dcterms:created xsi:type="dcterms:W3CDTF">2026-09-19T18:44:00Z</dcterms:created>
  <dcterms:modified xsi:type="dcterms:W3CDTF">2026-09-21T10:34:00Z</dcterms:modified>
</cp:coreProperties>
</file>