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64"/>
        </w:rPr>
        <w:t>EMI Locker</w:t>
      </w:r>
    </w:p>
    <w:p>
      <w:pPr>
        <w:jc w:val="center"/>
      </w:pPr>
      <w:r>
        <w:rPr>
          <w:b/>
          <w:color w:val="2563EB"/>
          <w:sz w:val="48"/>
        </w:rPr>
        <w:t>Three-Tier Service Guide</w:t>
      </w:r>
    </w:p>
    <w:p>
      <w:pPr>
        <w:jc w:val="center"/>
      </w:pPr>
      <w:r>
        <w:rPr>
          <w:color w:val="64748B"/>
          <w:sz w:val="24"/>
        </w:rPr>
        <w:t>Investor-facing service separation for Normal, Premium, and VIP EMI protection</w:t>
      </w:r>
    </w:p>
    <w:p>
      <w:r>
        <w:drawing>
          <wp:inline xmlns:a="http://schemas.openxmlformats.org/drawingml/2006/main" xmlns:pic="http://schemas.openxmlformats.org/drawingml/2006/picture">
            <wp:extent cx="6675120" cy="341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_ca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117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</w:tcPr>
          <w:p>
            <w:r>
              <w:rPr>
                <w:b/>
                <w:color w:val="0F172A"/>
                <w:sz w:val="22"/>
              </w:rPr>
              <w:t>Product Position</w:t>
            </w:r>
          </w:p>
          <w:p>
            <w:pPr>
              <w:spacing w:after="80"/>
            </w:pPr>
            <w:r>
              <w:t>EMI Locker protects both parties: dealer confidence without customer humiliation. The platform starts with reminders, then disturbance, then restriction, and uses full lock only when business rules justify it.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Executive Summary</w:t>
      </w:r>
    </w:p>
    <w:p>
      <w:r>
        <w:t>The three tiers are not just pricing labels. Each tier defines a different operating model for payment handling, backend automation, customer experience, and dealer workload.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4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1944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Best For</w:t>
            </w:r>
          </w:p>
        </w:tc>
        <w:tc>
          <w:tcPr>
            <w:tcW w:type="dxa" w:w="252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Payment Handling</w:t>
            </w:r>
          </w:p>
        </w:tc>
        <w:tc>
          <w:tcPr>
            <w:tcW w:type="dxa" w:w="3024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Lock Behavior</w:t>
            </w:r>
          </w:p>
        </w:tc>
        <w:tc>
          <w:tcPr>
            <w:tcW w:type="dxa" w:w="1584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Dealer Workload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Normal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Small shops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Manual by dealer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Dealer manual lock/unlock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High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Premium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Serious dealers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Dealer confirms payment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Backend reminders + auto lock ladder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Medium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VIP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Large partners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Verified payment ledger + payment app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Auto relax/unlock after verified payment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Low</w:t>
            </w:r>
          </w:p>
        </w:tc>
      </w:tr>
    </w:tbl>
    <w:p/>
    <w:p>
      <w:pPr>
        <w:pStyle w:val="Heading1"/>
      </w:pPr>
      <w:r>
        <w:rPr>
          <w:color w:val="0F172A"/>
        </w:rPr>
        <w:t>Runtime Policy Flow</w:t>
      </w:r>
    </w:p>
    <w:p>
      <w:r>
        <w:drawing>
          <wp:inline xmlns:a="http://schemas.openxmlformats.org/drawingml/2006/main" xmlns:pic="http://schemas.openxmlformats.org/drawingml/2006/picture">
            <wp:extent cx="6629400" cy="27070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_polic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7070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</w:tcPr>
          <w:p>
            <w:r>
              <w:rPr>
                <w:b/>
                <w:color w:val="0F172A"/>
                <w:sz w:val="22"/>
              </w:rPr>
              <w:t>Implementation Rule</w:t>
            </w:r>
          </w:p>
          <w:p>
            <w:pPr>
              <w:spacing w:after="80"/>
            </w:pPr>
            <w:r>
              <w:t>Key tier must become service_tier during confirmed enrollment. The scheduler, dealer app, user app, and VIP payment app must all read service_tier behavior.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Normal Tier</w:t>
      </w:r>
    </w:p>
    <w:p>
      <w:r>
        <w:t>Normal is the low-cost, dealer-operated tier. The platform gives the dealer tools, but the dealer makes the business decisions.</w:t>
      </w:r>
    </w:p>
    <w:p>
      <w:pPr>
        <w:pStyle w:val="ListBullet"/>
      </w:pPr>
      <w:r>
        <w:t>Backend stores EMI schedule and notifies the dealer about due or overdue state.</w:t>
      </w:r>
    </w:p>
    <w:p>
      <w:pPr>
        <w:pStyle w:val="ListBullet"/>
      </w:pPr>
      <w:r>
        <w:t>Backend does not auto-lock by default.</w:t>
      </w:r>
    </w:p>
    <w:p>
      <w:pPr>
        <w:pStyle w:val="ListBullet"/>
      </w:pPr>
      <w:r>
        <w:t>Dealer manually locks and unlocks from the dealer app.</w:t>
      </w:r>
    </w:p>
    <w:p>
      <w:pPr>
        <w:pStyle w:val="ListBullet"/>
      </w:pPr>
      <w:r>
        <w:t>User app acts as the core managed device agent and reports heartbeat, lock state, permissions, and location when requested.</w:t>
      </w:r>
    </w:p>
    <w:p>
      <w:pPr>
        <w:pStyle w:val="ListBullet"/>
      </w:pPr>
      <w:r>
        <w:t>No separate payment app is required.</w:t>
      </w:r>
    </w:p>
    <w:p>
      <w:pPr>
        <w:pStyle w:val="Heading1"/>
      </w:pPr>
      <w:r>
        <w:rPr>
          <w:color w:val="0F172A"/>
        </w:rPr>
        <w:t>Premium Tier</w:t>
      </w:r>
    </w:p>
    <w:p>
      <w:r>
        <w:t>Premium reduces dealer workload. The backend watches EMI dates and applies rules automatically, but payment confirmation remains dealer-controlled.</w:t>
      </w:r>
    </w:p>
    <w:p>
      <w:pPr>
        <w:pStyle w:val="ListBullet"/>
      </w:pPr>
      <w:r>
        <w:t>Backend sends reminders before due dates and alerts at overdue state.</w:t>
      </w:r>
    </w:p>
    <w:p>
      <w:pPr>
        <w:pStyle w:val="ListBullet"/>
      </w:pPr>
      <w:r>
        <w:t>Backend applies reminder mode, partial lock, and full lock based on grace/overdue rules.</w:t>
      </w:r>
    </w:p>
    <w:p>
      <w:pPr>
        <w:pStyle w:val="ListBullet"/>
      </w:pPr>
      <w:r>
        <w:t>Dealer records or confirms payments and controls unlock or grace decisions.</w:t>
      </w:r>
    </w:p>
    <w:p>
      <w:pPr>
        <w:pStyle w:val="ListBullet"/>
      </w:pPr>
      <w:r>
        <w:t>Dealer app shows automation timeline: reminder sent, warning shown, partial/full lock applied, device confirmed.</w:t>
      </w:r>
    </w:p>
    <w:p>
      <w:pPr>
        <w:pStyle w:val="ListBullet"/>
      </w:pPr>
      <w:r>
        <w:t>User app explains EMI status, lock reason, due date, grace period, and dealer contact.</w:t>
      </w:r>
    </w:p>
    <w:p>
      <w:pPr>
        <w:pStyle w:val="Heading1"/>
      </w:pPr>
      <w:r>
        <w:rPr>
          <w:color w:val="0F172A"/>
        </w:rPr>
        <w:t>VIP Tier</w:t>
      </w:r>
    </w:p>
    <w:p>
      <w:r>
        <w:t>VIP is the PalmPay-style experience: payment becomes part of the customer journey, while the dealer receives payment notifications and exception alerts.</w:t>
      </w:r>
    </w:p>
    <w:p>
      <w:pPr>
        <w:pStyle w:val="ListBullet"/>
      </w:pPr>
      <w:r>
        <w:t>VIP devices receive a separate customer payment app or portal in addition to the core user app.</w:t>
      </w:r>
    </w:p>
    <w:p>
      <w:pPr>
        <w:pStyle w:val="ListBullet"/>
      </w:pPr>
      <w:r>
        <w:t>Payment ledger tracks due, pending, verified, rejected, refunded, and dealer settlement states.</w:t>
      </w:r>
    </w:p>
    <w:p>
      <w:pPr>
        <w:pStyle w:val="ListBullet"/>
      </w:pPr>
      <w:r>
        <w:t>Customer can see balance, installments left, pay-now, advance payment, receipt history, and support contact.</w:t>
      </w:r>
    </w:p>
    <w:p>
      <w:pPr>
        <w:pStyle w:val="ListBullet"/>
      </w:pPr>
      <w:r>
        <w:t>Verified payment automatically relaxes or unlocks the device when business rules allow.</w:t>
      </w:r>
    </w:p>
    <w:p>
      <w:pPr>
        <w:pStyle w:val="ListBullet"/>
      </w:pPr>
      <w:r>
        <w:t>Full lock is not the first response. VIP uses persistent disturbance mode first, keeping payment/support paths usable.</w:t>
      </w:r>
    </w:p>
    <w:p>
      <w:pPr>
        <w:pStyle w:val="Heading2"/>
      </w:pPr>
      <w:r>
        <w:t>VIP Lock Ladder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59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4896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Customer Impact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Friendly reminder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Before due date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Notification and payment-app prompt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Payment due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Due date or grace start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Persistent payment card in payment/user app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Disturbance mode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After grace if unpaid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Front message that obstructs view but keeps payment/support usable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Partial restriction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Continued overdue or tamper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Restrict non-essential/distraction apps when policy allows</w:t>
            </w:r>
          </w:p>
        </w:tc>
      </w:tr>
      <w:tr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Full lock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Serious default or fraud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Kiosk/lock mode with emergency, payment, and dealer contact only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App Separation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</w:tcPr>
          <w:p>
            <w:r>
              <w:rPr>
                <w:b/>
                <w:color w:val="0F172A"/>
                <w:sz w:val="22"/>
              </w:rPr>
              <w:t>Decision</w:t>
            </w:r>
          </w:p>
          <w:p>
            <w:pPr>
              <w:spacing w:after="80"/>
            </w:pPr>
            <w:r>
              <w:t>Use one core user app for all tiers, plus one optional VIP payment app. Do not create separate Normal, Premium, and VIP user apps.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App</w:t>
            </w:r>
          </w:p>
        </w:tc>
        <w:tc>
          <w:tcPr>
            <w:tcW w:type="dxa" w:w="2016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Installed On</w:t>
            </w:r>
          </w:p>
        </w:tc>
        <w:tc>
          <w:tcPr>
            <w:tcW w:type="dxa" w:w="648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Core user app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Every EMI-managed phone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Device Owner/admin behavior, FCM commands, lock overlay/kiosk, heartbeat, schedule sync, offline unlock, location report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Dealer app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Dealer/reseller device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Enrollment, key purchase, device status, lock/unlock, payment confirmation, notifications</w:t>
            </w:r>
          </w:p>
        </w:tc>
      </w:tr>
      <w:tr>
        <w:tc>
          <w:tcPr>
            <w:tcW w:type="dxa" w:w="187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VIP payment app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VIP devices only</w:t>
            </w:r>
          </w:p>
        </w:tc>
        <w:tc>
          <w:tcPr>
            <w:tcW w:type="dxa" w:w="648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Customer payment UX, payment initiation, payment status, receipt history, advance payment, support</w:t>
            </w:r>
          </w:p>
        </w:tc>
      </w:tr>
    </w:tbl>
    <w:p/>
    <w:p>
      <w:r>
        <w:t>For Device Owner / AMAPI-managed phones, the backend can force-install the VIP payment app through managed Google Play policy using the app package name.</w:t>
      </w:r>
    </w:p>
    <w:p>
      <w:pPr>
        <w:pStyle w:val="Heading1"/>
      </w:pPr>
      <w:r>
        <w:rPr>
          <w:color w:val="0F172A"/>
        </w:rPr>
        <w:t>Backend Readiness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7488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Required Change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Source of truth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Add/copy service_tier into active device or schedule during confirmed enrollment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Tier-aware scheduler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standard = notify only; premium = auto lock ladder; vip = payment-ledger automation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Payment ledger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Normalize payment states and add idempotent payment events/webhooks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Command lifecycle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Track created, sent, received, applied, failed, expired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Dealer UI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Show tier detail sheet, tier badge, tier-specific actions, and command timeline</w:t>
            </w:r>
          </w:p>
        </w:tc>
      </w:tr>
      <w:tr>
        <w:tc>
          <w:tcPr>
            <w:tcW w:type="dxa" w:w="2304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User/VIP app</w:t>
            </w:r>
          </w:p>
        </w:tc>
        <w:tc>
          <w:tcPr>
            <w:tcW w:type="dxa" w:w="7488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Read tier from backend; VIP opens/links payment app and applies disturbance mode first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Heartbeat And Scaling</w:t>
      </w:r>
    </w:p>
    <w:p>
      <w:r>
        <w:drawing>
          <wp:inline xmlns:a="http://schemas.openxmlformats.org/drawingml/2006/main" xmlns:pic="http://schemas.openxmlformats.org/drawingml/2006/picture">
            <wp:extent cx="6629400" cy="4198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rtbeat_load_proj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98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Heartbeat is necessary, but it must be controlled. Healthy devices should report about once per hour. Permission-degraded or recently changed devices can report more often temporarily.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Devices</w:t>
            </w:r>
          </w:p>
        </w:tc>
        <w:tc>
          <w:tcPr>
            <w:tcW w:type="dxa" w:w="403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Hourly Heartbeat</w:t>
            </w:r>
          </w:p>
        </w:tc>
        <w:tc>
          <w:tcPr>
            <w:tcW w:type="dxa" w:w="4752"/>
            <w:vAlign w:val="center"/>
            <w:shd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15-Minute Degraded Heartbeat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1,000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720,000/month, about 0.7 GB outbound at 1 KB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2.88M/month, about 2.9 GB outbound at 1 KB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10,000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7.2M/month, about 7.2 GB outbound at 1 KB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28.8M/month, about 28.8 GB outbound at 1 KB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100,000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72M/month, about 72 GB outbound at 1 KB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jc w:val="center"/>
            </w:pPr>
            <w:r/>
            <w:r>
              <w:rPr>
                <w:b w:val="0"/>
                <w:color w:val="1E293B"/>
                <w:sz w:val="16"/>
              </w:rPr>
              <w:t>288M/month, about 288 GB outbound at 1 KB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</w:tcPr>
          <w:p>
            <w:r>
              <w:rPr>
                <w:b/>
                <w:color w:val="0F172A"/>
                <w:sz w:val="22"/>
              </w:rPr>
              <w:t>Infrastructure Note</w:t>
            </w:r>
          </w:p>
          <w:p>
            <w:pPr>
              <w:spacing w:after="80"/>
            </w:pPr>
            <w:r>
              <w:t>Render free tier is acceptable for development testing only. Production needs paid hosting, database indexes, batching, and observability.</w:t>
            </w:r>
          </w:p>
        </w:tc>
      </w:tr>
    </w:tbl>
    <w:p>
      <w:pPr>
        <w:pStyle w:val="Heading1"/>
      </w:pPr>
      <w:r>
        <w:rPr>
          <w:color w:val="0F172A"/>
        </w:rPr>
        <w:t>References</w:t>
      </w:r>
    </w:p>
    <w:p>
      <w:pPr>
        <w:pStyle w:val="ListBullet"/>
      </w:pPr>
      <w:r>
        <w:t>Android Management API: Distribute apps through managed Google Play policy - https://developers.google.com/android/management/apps</w:t>
      </w:r>
    </w:p>
    <w:p>
      <w:pPr>
        <w:pStyle w:val="ListBullet"/>
      </w:pPr>
      <w:r>
        <w:t>Render free tier limitations - https://render.com/docs/free</w:t>
      </w:r>
    </w:p>
    <w:p>
      <w:pPr>
        <w:pStyle w:val="ListBullet"/>
      </w:pPr>
      <w:r>
        <w:t>Render outbound bandwidth pricing - https://render.com/docs/outbound-bandwidth</w:t>
      </w:r>
    </w:p>
    <w:sectPr w:rsidR="00FC693F" w:rsidRPr="0006063C" w:rsidSect="00034616">
      <w:footerReference w:type="default" r:id="rId12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EMI Locker Three-Tier Service Guide | Confidential investor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