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Impacts on Rice Agriculture in South Asia</w:t>
      </w:r>
    </w:p>
    <w:p>
      <w:r>
        <w:t>Rice is an essential staple crop that sustains over two billion people across Asia. Bangladesh is one of the world's most climate-vulnerable countries due to its low elevation and river delta topography.</w:t>
      </w:r>
    </w:p>
    <w:p>
      <w:r>
        <w:t>Over the last three decades, extreme temperature variability has significantly disrupted national crop yields. Recent field trials indicate that high temperature stress during the flowering stage reduces rice grain fertility by as much as 25%.</w:t>
      </w:r>
    </w:p>
    <w:p>
      <w:r>
        <w:t>Rice accounts for approximately 70% of agricultural land use in Bangladesh. Despite rapid technological modernization in irrigation systems, rural farmer adaptation remains constrained by seasonal flood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