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and Meteorological Analysis of the January 2026 Bay d'Espoir Frazil Ice Crisis and Agentic AI Mitigation Frameworks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and Infrastructural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uninterrupted operation of critical regional electricity grids is heavily dependent upon specific environmental and meteorological tolerances. When these complex environmental thresholds are breached, the ensuing cascading failures have the potential to threaten the stability of the entire regional infrastructure. In January 2026, the Island Interconnected System of Newfoundland and Labrador faced an unprecedented infrastructural threat when frazil ice formed deeply within the intakes of the Bay d'Espoir Hydroelectric Generating Station.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specific meteorological and hydraulic event marked the first time in the facility's extensive 59-year history that the primary generating station was forced fully offline due to such phenomena.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comprehend the magnitude of this event and formulate autonomous, predictive remediation strategies utilizing artificial intelligence, an exhaustive analysis of the grid's topology, thermodynamic fluid principles, real-time meteorological data structures, and advanced agentic software frameworks is required.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provincial electricity landscape of Newfoundland and Labrador relies heavily on large-scale hydroelectric assets. The broader generation fleet includes massive mainland facilities such as the Churchill Falls Hydroelectric Generating Station, which boasts a capacity of 5,428 megawatts (MW), and the Muskrat Falls Hydroelectric Generating Station, rated at 824 MW (or 515 MW continuous rating).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on the island itself, the Bay d'Espoir Hydroelectric Generating Station represents the critical backbone of the Island Interconnected System. Officially commissioned in 1967, Bay d'Espoir is a reservoir-based facility that typically provides over 600 MW of continuous base-load generation, as well as crucial unit dispatch capabilities required to meet higher demand during winter system peaks.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architecture of the Bay d'Espoir facility is divided between multiple powerhouses and penstocks. Powerhouse 1 alone contains six generating units capable of producing up to 459 MW of capacity, supplied by Penstocks 1, 2, and 3.</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instance, Penstock 1, which supports Units 1 and 2 (totaling 153 MW), is an immense structure approximately 1,200 meters long with a diameter ranging from 17 feet at the intake to smaller dimensions closer to the turbines.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Over the years, these aging structures have required significant maintenance; Penstock 1 experienced four major ruptures between 2016 and 2019, leading to prolonged unit unavailability.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Similarly, Penstock 3, which supplies water to Units 5 and 6, represents another 153 MW of generation; a failure or blockage in this conveyance system results in a massive generation deficit that must be offset by thermal or standby assets.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Powerhouse 2 houses Unit 7, commissioned in 1977, which provides an additional 154.4 MW of capacity and operates critically as a synchronous condenser to maintain grid voltage stability.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further secure the island's energy future, the Bay d'Espoir Unit 8 Project has been proposed, aiming to add a 150 MW Francis-type turbine via a new intake, headrace, and buried steel penstock.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grid's stability relies not only on these hydroelectric assets but also on crucial thermal backups and high-voltage interconnectors. The Holyrood Thermal Generating Station, located in Conception Bay South, is the island's primary thermal facility.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Originally placed in service in 1971 with two 150 MW units, and expanded with a third 150 MW unit in 1980, the plant was later modified to achieve a total generating capacity of 490 MW.</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Holyrood burns 0.7 percent sulphur fuel oil and is essential for meeting both winter peak demand and annual energy requirements when hydroelectric reservoir storage or inflows are low.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Additionally, the grid relies heavily on two major High Voltage direct current (HVdc) transmission links. The Labrador-Island Link (LIL) is a 1,100 km, 900 MW, </w:t>
      </w:r>
      <w:r w:rsidDel="00000000" w:rsidR="00000000" w:rsidRPr="00000000">
        <w:rPr>
          <w:rFonts w:ascii="Google Sans" w:cs="Google Sans" w:eastAsia="Google Sans" w:hAnsi="Google Sans"/>
          <w:color w:val="1f1f1f"/>
        </w:rPr>
        <w:drawing>
          <wp:inline distB="19050" distT="19050" distL="19050" distR="19050">
            <wp:extent cx="393832" cy="205478"/>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832" cy="205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kV HVdc bipole transmission line that carries energy from Muskrat Falls to the Soldiers Pond Terminal Station on the Avalon Peninsula, utilizing converter stations developed by GE Grid Solutions (formerly Alstom).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Maritime Link, a 500 MW, </w:t>
      </w:r>
      <w:r w:rsidDel="00000000" w:rsidR="00000000" w:rsidRPr="00000000">
        <w:rPr>
          <w:rFonts w:ascii="Google Sans" w:cs="Google Sans" w:eastAsia="Google Sans" w:hAnsi="Google Sans"/>
          <w:color w:val="1f1f1f"/>
        </w:rPr>
        <w:drawing>
          <wp:inline distB="19050" distT="19050" distL="19050" distR="19050">
            <wp:extent cx="393832" cy="205478"/>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3832" cy="205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kV HVdc system constructed by Emera, connects Newfoundland to Nova Scotia via a 180 km subsea cable across the Cabot Strait, allowing for both the export of surplus hydroelectricity and the import of emergency power.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foundational components of the provincial electrical infrastructure critical to understanding the systemic impacts of the January 2026 crisis: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 Technology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Specifications / Historical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Churchill Falls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Hydroelectric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5,428 MW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Mainland Labrador asset; highest capacity facility in the province.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Muskrat Falls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Hydroelectric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824 MW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rating of 515 MW; supplies the Labrador-Island Link.</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Bay d'Espoir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Hydroelectric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~604 MW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Island backbone; multiple powerhouses, reservoir-based, commissioned 1967.</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Holyrood TGS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Thermal (Oil)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490 MW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Three turbines, commissioned 1971; units also act as synchronous condensers.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Labrador-Island Link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HVdc Transmission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 MW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1,100 km length, </w:t>
            </w:r>
            <w:r w:rsidDel="00000000" w:rsidR="00000000" w:rsidRPr="00000000">
              <w:rPr>
                <w:rFonts w:ascii="Google Sans" w:cs="Google Sans" w:eastAsia="Google Sans" w:hAnsi="Google Sans"/>
                <w:color w:val="1f1f1f"/>
                <w:shd w:fill="auto" w:val="clear"/>
              </w:rPr>
              <w:drawing>
                <wp:inline distB="19050" distT="19050" distL="19050" distR="19050">
                  <wp:extent cx="393832" cy="205478"/>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832" cy="2054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kV; converter stations by GE/Alstom.</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Maritime Link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HVdc Transmission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MW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180 km subsea cable; connects to Nova Scotia at </w:t>
            </w:r>
            <w:r w:rsidDel="00000000" w:rsidR="00000000" w:rsidRPr="00000000">
              <w:rPr>
                <w:rFonts w:ascii="Google Sans" w:cs="Google Sans" w:eastAsia="Google Sans" w:hAnsi="Google Sans"/>
                <w:color w:val="1f1f1f"/>
                <w:shd w:fill="auto" w:val="clear"/>
              </w:rPr>
              <w:drawing>
                <wp:inline distB="19050" distT="19050" distL="19050" distR="19050">
                  <wp:extent cx="393832" cy="205478"/>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3832" cy="2054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kV.</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Operational Breakdown of the January 2026 Frazil Ice Crisis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disruption experienced in January 2026 was not an isolated physical anomaly but rather the culmination of perfectly aligned, adverse meteorological parameters interacting with the specific bathymetry and hydrology of the Bay d'Espoir reservoir.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Generally, frazil ice is a hazard reserved for fast-moving river systems where continuous turbulence prevents the formation of a static surface ice cover.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Reservoir-based plants like Bay d'Espoir are typically insulated from this specific threat.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a relatively mild early winter left the reservoir devoid of its standard insulating ice cover.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the ambient air temperature plummeted rapidly during a severe cold snap, accompanied by high-velocity westerly winds, the exposed, open water was aggressively churned.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wind-induced turbulence deeply mixed the supercooled surface water, initiating the spontaneous nucleation of millions of suspended frazil ice crystals, which agglomerated into a dense, viscous slush.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manifestation of this meteorological event was catastrophic for the plant's hydro-mechanical systems. The slightly buoyant but highly adhesive frazil slush was drawn deep into the water column by the intake flow and turbulent eddies.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slush effectively coated the massive steel intake gates and trash racks—some measuring 20 feet high and located 30 feet below the water's surface—creating an impermeable barrier that halted the necessary water flow to the turbines.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Rob Collett, Vice President of Engineering and System Operator at Newfoundland and Labrador Hydro, aptly described the mechanical impedance, stating, "We are dealing with that ice in the straw," comparing the blockage to "trying to suck a slushie up through a straw".</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sudden loss of 604 MW of base-load generation placed the provincial electricity system under immense pressure.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loss was exacerbated by the timing of the event, which coincided with extreme cold weather driving peak customer heating demand.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winter peaks on the island have reached up to 1,789 MW, making the loss of a 600+ MW asset an existential threat to grid stability.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crisis was further compounded by concurrent, independent equipment failures elsewhere in the asset fleet. Simultaneously, the Holyrood Thermal Generating Station experienced a series of trips that resulted in the complete unavailability of Unit 2 and separate issues that forced the derating of Unit 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synchronized unavailability of the island's primary hydroelectric backbone and a significant portion of its critical thermal backup necessitated immediate, aggressive grid management interventions.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Operator Response and the Advance Notification Protocol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Faced with a rapidly deteriorating generation profile, the Newfoundland and Labrador System Operator (NLSO) team monitored the provincial electrical system utilizing real-time telemetry to evaluate predicted demands against the diminished supply.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Recognizing the severe shortfall, the NLSO activated the Advance Notification Protocol, a structured communication system designed to provide timely and transparent information regarding the province's power supply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utilizes three distinct alert levels. Initially, operators issued a "Power Watch" to ensure customers were tuned in and alerted to the potential supply issue.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risk escalated and reserves dwindled, the protocol was elevated to a "Power Warning".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warning explicitly requested that residential and industrial customers actively conserve electricity to help stabilize the system and avert forced rolling outages.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Hydro coordinated with the communications team to distribute safety, preparedness, and conservation tips tailored for residents, businesses, and electric vehicle drivers.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NLSO rapidly coordinated with Hydro's operations teams to ensure all alternative generation assets were staffed and maximized, including hydroelectric stations like Hinds Lake and fast-start gas/combustion turbines at Hardwoods and Stephenville.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Coordination also extended to local distribution partners, primarily Newfoundland Power, to manage interconnected load.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Marketing and External Power Procurement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local generation critically constrained, the Resource and Production Planning (RPP) team directed the Energy Marketing department to immediately source non-firm electricity imports from external jurisdictions to support the grid.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Under normal circumstances, the Energy Marketing team manages the trading of surplus clean energy to external markets in Canada and the US, optimizing revenue through the sale of renewable energy credits (RECs).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During this crisis, their mandate shifted entirely to emergency procurement.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procurement process faced severe geographic and meteorological hurdles. The extreme cold that caused the frazil ice event was a macro-weather pattern affecting the entire Atlantic region, meaning neighbouring utilities in Nova Scotia and New Brunswick were facing similar thermal demands and possessed limited excess capacity.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Consequently, Energy Marketing was forced to expand its search into broader electricity markets in New England.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Securing power from these distant sources required complex, continuous coordination across multiple generation and transmission systems, with power blocks often purchased in intervals as short as one hour.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Traders, marketers, and leadership adjusted shifts to work around the clock, successfully routing emergency power into the province over the Maritime Link.</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Remediation and Ice Clearance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Restoring generation at Bay d'Espoir required perilous manual intervention deep underwater. The frazil ice accumulation was so dense and thick—up to three feet deep on the intake screens—that Remotely Operated Vehicles (ROVs) deployed to assess the situation failed to navigate or reach the impacted gates.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specialized, contracted dive teams were deployed into the reservoir.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in punishing ambient windchills of </w:t>
      </w:r>
      <w:r w:rsidDel="00000000" w:rsidR="00000000" w:rsidRPr="00000000">
        <w:rPr>
          <w:rFonts w:ascii="Google Sans" w:cs="Google Sans" w:eastAsia="Google Sans" w:hAnsi="Google Sans"/>
          <w:color w:val="1f1f1f"/>
        </w:rPr>
        <w:drawing>
          <wp:inline distB="19050" distT="19050" distL="19050" distR="19050">
            <wp:extent cx="581025" cy="247790"/>
            <wp:effectExtent b="0" l="0" r="0" t="0"/>
            <wp:docPr id="1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81025" cy="247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freezing water temperatures, divers utilized manual hand tools to chip away the highly adhesive ice from the massive intake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physical configuration of the intake gates dictated that all impacted gates associated with a specific turbine had to be completely cleared before any single generating unit could be safely restarted.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accelerate the slow, dangerous manual labour, crews deployed air compressors overnight; the injected air helped to agitate and loosen the ice mass, allowing it to break off in larger chunks.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January 25, 2026, progress with the ice removal permitted all six affected units at Bay d'Espoir to return to service, effectively stabilizing the system and allowing the formal Power Warning to be lifted, though a Power Watch remained in place temporarily due to persistent cold temperatures.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Thermodynamic Mechanisms and Meteorological Thresholds of Frazil 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reliable functioning of hydroelectric intakes in cold climates requires a profound understanding of the thermodynamic principles that govern underwater ice formation. Frazil ice, unlike standard surface congelation ice that forms statically from the top down, crystallizes dynamically within the supercooled water column.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Predicting the onset of such events, and thus preventing the massive blockages seen at Bay d'Espoir, requires continuous monitoring of highly specific meteorological and hydrological thresholds.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Supercooling and Heat Flux</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fundamental prerequisite for frazil ice formation is the supercooling of the water mass. Supercooling occurs when the ambient water temperature drops below the equilibrium freezing point—typically </w:t>
      </w:r>
      <w:r w:rsidDel="00000000" w:rsidR="00000000" w:rsidRPr="00000000">
        <w:rPr>
          <w:rFonts w:ascii="Google Sans" w:cs="Google Sans" w:eastAsia="Google Sans" w:hAnsi="Google Sans"/>
          <w:color w:val="1f1f1f"/>
        </w:rPr>
        <w:drawing>
          <wp:inline distB="19050" distT="19050" distL="19050" distR="19050">
            <wp:extent cx="330464" cy="245730"/>
            <wp:effectExtent b="0" l="0" r="0" t="0"/>
            <wp:docPr id="1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30464" cy="245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freshwater—without immediately undergoing the phase transition to a solid.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metastable thermodynamic state is achieved through rapid heat loss from the water surface to the overlying cold atmosphere, a process strictly governed by the air-water heat flux.</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rate of heat loss is mathematically and physically dependent on the temperature differential between the water and the air, heavily augmented by wind-driven evaporative and convective cooling mechanics. A simplified analytical expression of the thermal energy balance driving this phenomenon incorporates Newton's time derivative of temperature. In this model, the cooling rate </w:t>
      </w:r>
      <w:r w:rsidDel="00000000" w:rsidR="00000000" w:rsidRPr="00000000">
        <w:rPr>
          <w:rFonts w:ascii="Google Sans" w:cs="Google Sans" w:eastAsia="Google Sans" w:hAnsi="Google Sans"/>
          <w:color w:val="1f1f1f"/>
        </w:rPr>
        <w:drawing>
          <wp:inline distB="19050" distT="19050" distL="19050" distR="19050">
            <wp:extent cx="514350" cy="248603"/>
            <wp:effectExtent b="0" l="0" r="0" t="0"/>
            <wp:docPr id="16"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14350" cy="248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proportional to the difference between the freezing temperature </w:t>
      </w:r>
      <w:r w:rsidDel="00000000" w:rsidR="00000000" w:rsidRPr="00000000">
        <w:rPr>
          <w:rFonts w:ascii="Google Sans" w:cs="Google Sans" w:eastAsia="Google Sans" w:hAnsi="Google Sans"/>
          <w:color w:val="1f1f1f"/>
        </w:rPr>
        <w:drawing>
          <wp:inline distB="19050" distT="19050" distL="19050" distR="19050">
            <wp:extent cx="206111" cy="249050"/>
            <wp:effectExtent b="0" l="0" r="0" t="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06111" cy="249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actual water temperature </w:t>
      </w:r>
      <w:r w:rsidDel="00000000" w:rsidR="00000000" w:rsidRPr="00000000">
        <w:rPr>
          <w:rFonts w:ascii="Google Sans" w:cs="Google Sans" w:eastAsia="Google Sans" w:hAnsi="Google Sans"/>
          <w:color w:val="1f1f1f"/>
        </w:rPr>
        <w:drawing>
          <wp:inline distB="19050" distT="19050" distL="19050" distR="19050">
            <wp:extent cx="141552" cy="256563"/>
            <wp:effectExtent b="0" l="0" r="0" t="0"/>
            <wp:docPr id="1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41552" cy="2565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is heavily influenced by the mixed layer velocity </w:t>
      </w:r>
      <w:r w:rsidDel="00000000" w:rsidR="00000000" w:rsidRPr="00000000">
        <w:rPr>
          <w:rFonts w:ascii="Google Sans" w:cs="Google Sans" w:eastAsia="Google Sans" w:hAnsi="Google Sans"/>
          <w:color w:val="1f1f1f"/>
        </w:rPr>
        <w:drawing>
          <wp:inline distB="19050" distT="19050" distL="19050" distR="19050">
            <wp:extent cx="216297" cy="250904"/>
            <wp:effectExtent b="0" l="0" r="0" t="0"/>
            <wp:docPr id="2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16297" cy="250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Observational and field analyses indicate that the supercooling process generally exhibits two distinct temporal phases: the principal supercooling phase and the residual supercooling phase.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During the principal phase, the water temperature rapidly declines to its minimum value. Field measurements utilizing precision thermistors in comparable riverine and reservoir environments record peak supercooling temperatures ranging narrowly from </w:t>
      </w:r>
      <w:r w:rsidDel="00000000" w:rsidR="00000000" w:rsidRPr="00000000">
        <w:rPr>
          <w:rFonts w:ascii="Google Sans" w:cs="Google Sans" w:eastAsia="Google Sans" w:hAnsi="Google Sans"/>
          <w:color w:val="1f1f1f"/>
        </w:rPr>
        <w:drawing>
          <wp:inline distB="19050" distT="19050" distL="19050" distR="19050">
            <wp:extent cx="733425" cy="213205"/>
            <wp:effectExtent b="0" l="0" r="0" t="0"/>
            <wp:docPr id="2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33425" cy="213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33425" cy="213205"/>
            <wp:effectExtent b="0" l="0" r="0" t="0"/>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733425" cy="213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At this critical metastable juncture, spontaneous or secondary nucleation occurs, leading to the explosive generation of microscopic ice crystals throughout the water column.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As the latent heat of fusion is released by the growing crystals, the water temperature rises slightly to a steady-state residual supercooling temperature, a phase that persists as long as active heat loss continues.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Meteorological Triggers: Air Temperature and Wind Velocity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external meteorological thresholds required to induce this rapid heat loss and subsequent supercooling are severe. Ambient air temperatures must be substantially below freezing. Environmental data from severe frazil events demonstrate that sustained air temperatures oscillating between </w:t>
      </w:r>
      <w:r w:rsidDel="00000000" w:rsidR="00000000" w:rsidRPr="00000000">
        <w:rPr>
          <w:rFonts w:ascii="Google Sans" w:cs="Google Sans" w:eastAsia="Google Sans" w:hAnsi="Google Sans"/>
          <w:color w:val="1f1f1f"/>
        </w:rPr>
        <w:drawing>
          <wp:inline distB="19050" distT="19050" distL="19050" distR="19050">
            <wp:extent cx="581025" cy="247790"/>
            <wp:effectExtent b="0" l="0" r="0" t="0"/>
            <wp:docPr id="2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81025" cy="247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12630" cy="213596"/>
            <wp:effectExtent b="0" l="0" r="0" t="0"/>
            <wp:docPr id="2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12630" cy="2135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 the necessary aggressive thermal gradient for heat extraction.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Equally critical, and arguably the defining catalyst for frazil generation in reservoirs, is the presence of high-velocity winds. Wind serves a dual, compounding purpose in the frazil ice mechanism:</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maximizes the sensible and latent heat fluxes from the water surface by stripping away the insulating boundary layer of air, exponentially increasing the cooling rate.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generates intense mechanical and wave-driven turbulence, which physically prevents the formation of a static surface ice sheet. Simultaneously, this turbulence mixes the supercooled surface water deep into the vertical profile of the water column.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Wind speed thresholds are highly specific to geographic topography and fetch length. Studies of severe frazil events highlight that katabatic wind events, characterized by speeds exceeding 17 meters per second (m/s), are primary drivers of massive frazil generation in exposed aquatic environments.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Other detailed analyses indicate that sustained wind speeds in the range of 8.9 to 13.4 m/s (approximately 20 to 30 mph), when coupled with air temperatures near </w:t>
      </w:r>
      <w:r w:rsidDel="00000000" w:rsidR="00000000" w:rsidRPr="00000000">
        <w:rPr>
          <w:rFonts w:ascii="Google Sans" w:cs="Google Sans" w:eastAsia="Google Sans" w:hAnsi="Google Sans"/>
          <w:color w:val="1f1f1f"/>
        </w:rPr>
        <w:drawing>
          <wp:inline distB="19050" distT="19050" distL="19050" distR="19050">
            <wp:extent cx="581025" cy="247790"/>
            <wp:effectExtent b="0" l="0" r="0" t="0"/>
            <wp:docPr id="3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81025" cy="247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9671" cy="245140"/>
            <wp:effectExtent b="0" l="0" r="0" t="0"/>
            <wp:docPr id="3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29671" cy="245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reliably set the stage for the production of vast quantities of underwater ice.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Crystal Morphology, Agglomeration, and Intake Adhesion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nucleated, individual frazil ice crystals initially manifest as fine, disk-shaped or dendritic structures, often sub-millimeter in size.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As the principal supercooling phase progresses and turbulent collisions increase, these individual crystals begin to sinter and agglomerate into much larger, structurally complex bodies known as flocs.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Detailed field measurements utilizing advanced submersible camera systems have accurately identified the morphological properties of these flocs. Analytical processing of these images reveals that floc size distributions conform closely to a lognormal distribution.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mean floc sizes range from 1.19 mm to 5.64 mm, with an overall average size of 3.80 mm.</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volumetric concentration of these flocs correlates strongly with the fractional height above the bed, indicating that the slightly buoyant crystals are drawn downward purely by the kinetic energy of the turbulent eddies.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hazard to hydroelectric facilities arises from the extreme adhesiveness of active frazil ice. Because the crystals are actively growing within supercooled water, they readily adhere to any object that is at or below the freezing point.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When these sticky flocs are convected by the intake flow toward submerged engineered structures—such as the massive steel trash racks and intake gates at the Bay d'Espoir facility—they rapidly accumulate.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depositional growth bridges the gaps between the trash rack bars, leading to a sudden, exponential decrease in the open flow area. The resulting increase in energy losses places downstream turbines outside their operational margins, eventually necessitating a complete shutdown of the facility to prevent cavitation or structural damage.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Monitoring Technologies and Machine Learning Forecasting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detect frazil ice before it causes complete infrastructural blockage, modern hydro operators utilize sophisticated underwater acoustics and machine learning frameworks. Under-ice sonar deployments, specifically Ice Profiling Sonars (IPS) and Shallow Water Ice Profilers (SWIP), offer continuous, high-resolution data on ice presence within the water column.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Acoustic backscatter from these devices is used to quantify the intensity of suspended frazil. Research indicates that during periods of ice-free water above </w:t>
      </w:r>
      <w:r w:rsidDel="00000000" w:rsidR="00000000" w:rsidRPr="00000000">
        <w:rPr>
          <w:rFonts w:ascii="Google Sans" w:cs="Google Sans" w:eastAsia="Google Sans" w:hAnsi="Google Sans"/>
          <w:color w:val="1f1f1f"/>
        </w:rPr>
        <w:drawing>
          <wp:inline distB="19050" distT="19050" distL="19050" distR="19050">
            <wp:extent cx="330464" cy="245730"/>
            <wp:effectExtent b="0" l="0" r="0" t="0"/>
            <wp:docPr id="3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30464" cy="245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background acoustic noise registers below 50 counts.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Therefore, a sustained backscatter signal above the threshold of 50 counts for a minimum duration of 20 minutes is defined as an active suspended frazil event.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Furthermore, empirical field studies have identified specific thresholds at which these suspended events result in critical trash-rack ice accumulations: blockages reliably occur when an IPS records a peak signal saturation of at least 47% coupled with a minimum frazil event duration of 6.3 hours.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passive monitoring, predictive forecasting of ice phenomena is increasingly relying on Artificial Intelligence (AI) and machine learning (ML) algorithms. Complex stochastic modeling approaches, such as the integration of HEC-HMS hydrological models with RIVICE ice hydraulic models, have been utilized successfully in Newfoundland's Exploits River to simulate streamflow, frazil ice generation, and backwater flood levels under various climate scenarios.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Purely data-driven machine learning models are also highly effective. Studies leveraging Multilayer Perceptron Neural Networks (MLPNN), Extreme Gradient Boosting (XGBoost), and Support Vector Machines (SVM) have demonstrated high accuracy in forecasting the timing and severity of ice phenomena based on antecedent water temperatures, air temperatures, and flow conditions.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SVMs, in particular, have been utilized successfully as learning algorithms specifically to identify and classify suspended frazil ice particles from raw field measurements.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critical meteorological, physical, and acoustic thresholds associated with severe frazil ice events, essential for programming predictive agents: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Threshold / 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Consequence /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Air Temperature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81025" cy="247790"/>
                  <wp:effectExtent b="0" l="0" r="0" t="0"/>
                  <wp:docPr id="3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81025" cy="2477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t>
            </w:r>
            <w:r w:rsidDel="00000000" w:rsidR="00000000" w:rsidRPr="00000000">
              <w:rPr>
                <w:rFonts w:ascii="Google Sans" w:cs="Google Sans" w:eastAsia="Google Sans" w:hAnsi="Google Sans"/>
                <w:color w:val="1f1f1f"/>
                <w:shd w:fill="auto" w:val="clear"/>
              </w:rPr>
              <w:drawing>
                <wp:inline distB="19050" distT="19050" distL="19050" distR="19050">
                  <wp:extent cx="512630" cy="213596"/>
                  <wp:effectExtent b="0" l="0" r="0" t="0"/>
                  <wp:docPr id="3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12630" cy="2135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the extreme thermal gradient necessary for rapid sensible and latent heat loss from the water surface.</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 Velocity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62636" cy="204595"/>
                  <wp:effectExtent b="0" l="0" r="0" t="0"/>
                  <wp:docPr id="3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62636" cy="2045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t>
            </w:r>
            <w:r w:rsidDel="00000000" w:rsidR="00000000" w:rsidRPr="00000000">
              <w:rPr>
                <w:rFonts w:ascii="Google Sans" w:cs="Google Sans" w:eastAsia="Google Sans" w:hAnsi="Google Sans"/>
                <w:color w:val="1f1f1f"/>
                <w:shd w:fill="auto" w:val="clear"/>
              </w:rPr>
              <w:drawing>
                <wp:inline distB="19050" distT="19050" distL="19050" distR="19050">
                  <wp:extent cx="697177" cy="204052"/>
                  <wp:effectExtent b="0" l="0" r="0" t="0"/>
                  <wp:docPr id="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97177" cy="2040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Strips the boundary layer, prevents surface ice formation, and induces deep turbulent mixing of supercooled water.</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Supercooling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33425" cy="213205"/>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33425" cy="21320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t>
            </w:r>
            <w:r w:rsidDel="00000000" w:rsidR="00000000" w:rsidRPr="00000000">
              <w:rPr>
                <w:rFonts w:ascii="Google Sans" w:cs="Google Sans" w:eastAsia="Google Sans" w:hAnsi="Google Sans"/>
                <w:color w:val="1f1f1f"/>
                <w:shd w:fill="auto" w:val="clear"/>
              </w:rPr>
              <w:drawing>
                <wp:inline distB="19050" distT="19050" distL="19050" distR="19050">
                  <wp:extent cx="733425" cy="213205"/>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733425" cy="21320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critical metastable temperature point that triggers the explosive spontaneous nucleation of ice crystals.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Mean Floc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38440" cy="204301"/>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38440" cy="2043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t>
            </w:r>
            <w:r w:rsidDel="00000000" w:rsidR="00000000" w:rsidRPr="00000000">
              <w:rPr>
                <w:rFonts w:ascii="Google Sans" w:cs="Google Sans" w:eastAsia="Google Sans" w:hAnsi="Google Sans"/>
                <w:color w:val="1f1f1f"/>
                <w:shd w:fill="auto" w:val="clear"/>
              </w:rPr>
              <w:drawing>
                <wp:inline distB="19050" distT="19050" distL="19050" distR="19050">
                  <wp:extent cx="638440" cy="204301"/>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38440" cy="20430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physical dimension of the agglomerated crystals that adhere to and bridge the gaps in submerged trash racks.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Acoustic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467" cy="208078"/>
                  <wp:effectExtent b="0" l="0" r="0" t="0"/>
                  <wp:docPr id="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55467" cy="2080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counts backscatter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baseline threshold for identifying the presence of active suspended frazil ice via IPS/SWIP sonar devices.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Blockage Threshold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6093" cy="205280"/>
                  <wp:effectExtent b="0" l="0" r="0" t="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96093" cy="2052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duration, </w:t>
            </w:r>
            <w:r w:rsidDel="00000000" w:rsidR="00000000" w:rsidRPr="00000000">
              <w:rPr>
                <w:rFonts w:ascii="Google Sans" w:cs="Google Sans" w:eastAsia="Google Sans" w:hAnsi="Google Sans"/>
                <w:color w:val="1f1f1f"/>
                <w:shd w:fill="auto" w:val="clear"/>
              </w:rPr>
              <w:drawing>
                <wp:inline distB="19050" distT="19050" distL="19050" distR="19050">
                  <wp:extent cx="316839" cy="205517"/>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16839" cy="2055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specific acoustic duration and saturation metrics empirically correlated with imminent trash rack blockage.</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Environment Canada API Architecture for Real-Time Meteorological Retrieval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predict and preempt infrastructural failures akin to the January 2026 Bay d'Espoir crisis, autonomous intelligent systems must be capable of ingesting high-fidelity, real-time meteorological and hydrometric data. The Meteorological Service of Canada (MSC), under the purview of Environment and Climate Change Canada (ECCC), exposes a robust, highly sophisticated suite of interoperable web services and Application Programming Interfaces (APIs) designed exactly for this type of automated data retrieval.</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vector for programmatic data extraction is the MSC GeoMet platform. This platform implements the open standards ratified by the Open Geospatial Consortium (OGC) and the International Organization for Standardization (ISO).</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Specifically, MSC GeoMet exposes data via the OGC API - Features (OAFeat) standard for vector-based point data and the OGC API - Coverages standard for raster data, providing developers with RESTful access to thousands of environmental datasets serialized primarily in JSON and GeoJSON formats.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OGC API - Features Endpoints and Core Collections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OGC API - Features standard allows for precise, programmatic querying of vector-based geospatial data, which encompasses discrete weather station observations, hydrometric sensor telemetry, and meteorological bulletins.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base URL for the primary feature service is https://api.weather.gc.ca/.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available data is partitioned into distinct collections, which can be programmatically enumerated via the GET /collections endpoint.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continuous monitoring of the specific parameters critical to frazil ice prediction—namely sub-zero air temperatures, extreme wind speeds, and hydrometric flow—several core collections must be targeted:</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hydrometric-stations: Contains the static metadata, geographic coordinates, and operational status for over 2,100 water-level and discharge sensors across Canada.</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hydrometric-daily-mean: Provides historical and real-time averages of hydrological conditions, essential for baselining river/reservoir flow rates.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climate-hourly and climate-daily: Supplies high-resolution, temporally dense observations of air temperature, relative humidity, wind direction, and maximum wind gust velocities.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swob-realtime: Surface Weather Observation System data, providing real-time measurements including atmospheric pressure and wind profiles.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prognos-rdps-realtime: Contains statistically post-processed forecasts generated via multiple linear regression (MLR) and machine learning from the Regional Deterministic Prediction System (RDPS). This includes highly accurate point forecasts for temperatures at 1.5 meters and wind speeds at 10 meters, out to an 84-hour lead time.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retrieve actionable data for the specific region of the Bay d'Espoir Hydroelectric Generating Station, the API must be queried using the designated Environment Canada Climate ID or Station Number. The primary station associated with Bay d'Espoir operates under the identifier 8400413, located at Latitude: </w:t>
      </w:r>
      <w:r w:rsidDel="00000000" w:rsidR="00000000" w:rsidRPr="00000000">
        <w:rPr>
          <w:rFonts w:ascii="Google Sans" w:cs="Google Sans" w:eastAsia="Google Sans" w:hAnsi="Google Sans"/>
          <w:color w:val="1f1f1f"/>
        </w:rPr>
        <w:drawing>
          <wp:inline distB="19050" distT="19050" distL="19050" distR="19050">
            <wp:extent cx="799307" cy="238091"/>
            <wp:effectExtent b="0" l="0" r="0" t="0"/>
            <wp:docPr id="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799307" cy="238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 Longitude: </w:t>
      </w:r>
      <w:r w:rsidDel="00000000" w:rsidR="00000000" w:rsidRPr="00000000">
        <w:rPr>
          <w:rFonts w:ascii="Google Sans" w:cs="Google Sans" w:eastAsia="Google Sans" w:hAnsi="Google Sans"/>
          <w:color w:val="1f1f1f"/>
        </w:rPr>
        <w:drawing>
          <wp:inline distB="19050" distT="19050" distL="19050" distR="19050">
            <wp:extent cx="799307" cy="238091"/>
            <wp:effectExtent b="0" l="0" r="0" t="0"/>
            <wp:docPr id="10"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799307" cy="238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 at an elevation of 22.90 meters.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Filtering via Common Query Language (CQL2)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Retrieving highly specific datasets from massive national collections requires powerful server-side filtering. Fetching entire datasets and filtering them client-side introduces unacceptable latency and bandwidth overhead for real-time agentic systems. To solve this, the MSC GeoMet API robustly supports the Common Query Language (CQL2), invoked via the ?filter= URL parameter.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CQL2 permits complex logical operations, numeric comparison operators (</w:t>
      </w:r>
      <w:r w:rsidDel="00000000" w:rsidR="00000000" w:rsidRPr="00000000">
        <w:rPr>
          <w:rFonts w:ascii="Google Sans" w:cs="Google Sans" w:eastAsia="Google Sans" w:hAnsi="Google Sans"/>
          <w:color w:val="1f1f1f"/>
        </w:rPr>
        <w:drawing>
          <wp:inline distB="19050" distT="19050" distL="19050" distR="19050">
            <wp:extent cx="1241555" cy="238106"/>
            <wp:effectExtent b="0" l="0" r="0" t="0"/>
            <wp:docPr id="1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241555" cy="2381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advanced spatial intersection queries executed directly on ECCC servers.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to proactively detect the meteorological conditions conducive to frazil ice formation (e.g., temperatures plunging below </w:t>
      </w:r>
      <w:r w:rsidDel="00000000" w:rsidR="00000000" w:rsidRPr="00000000">
        <w:rPr>
          <w:rFonts w:ascii="Google Sans" w:cs="Google Sans" w:eastAsia="Google Sans" w:hAnsi="Google Sans"/>
          <w:color w:val="1f1f1f"/>
        </w:rPr>
        <w:drawing>
          <wp:inline distB="19050" distT="19050" distL="19050" distR="19050">
            <wp:extent cx="581025" cy="247790"/>
            <wp:effectExtent b="0" l="0" r="0" t="0"/>
            <wp:docPr id="2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81025" cy="247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wind speeds simultaneously exceeding </w:t>
      </w:r>
      <w:r w:rsidDel="00000000" w:rsidR="00000000" w:rsidRPr="00000000">
        <w:rPr>
          <w:rFonts w:ascii="Google Sans" w:cs="Google Sans" w:eastAsia="Google Sans" w:hAnsi="Google Sans"/>
          <w:color w:val="1f1f1f"/>
        </w:rPr>
        <w:drawing>
          <wp:inline distB="19050" distT="19050" distL="19050" distR="19050">
            <wp:extent cx="718476" cy="239492"/>
            <wp:effectExtent b="0" l="0" r="0" t="0"/>
            <wp:docPr id="2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718476" cy="239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programmatic HTTP GET request to the climate-hourly collection can be constructed using CQL2 exact matches and numeric comparisons. The logical AND operator chains these conditions, while the BETWEEN operator handles closed continuous intervals.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An example query string would be: ?filter=properties.TEMP &lt; -10 AND properties.WIND_SPEED &gt;= 20.</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spatial searches utilize the INTERSECTS function, allowing developers to define a custom bounding polygon using Well-Known Text (WKT) formatting.</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is critically important when aggregating data from multiple secondary weather stations surrounding a vast reservoir like Bay d'Espoir, where a single point source may not capture localized wind channeling effects. The WKT syntax strictly requires longitude to precede latitude. An example spatial CQL2 filter appears as: ?filter=INTERSECTS(geometry, POLYGON((-56.0 47.8, -55.5 47.8, -55.5 48.2, -56.0 48.2, -56.0 47.8))).</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Pagination, Property Restriction, and Temporal Extents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national environmental queries routinely yield tens or hundreds of thousands of individual records, the MSC GeoMet API enforces a strict response payload limit of 10,000 features per query request.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Consequently, automated data retrieval systems must implement robust pagination algorithms. Pagination is managed via the limit and offset parameters.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system querying one month of hourly data might request limit=500&amp;offset=0, subsequently parsing the next URL link embedded natively within the JSON response payload to algorithmically advance the offset until all records are retrieved.</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To minimize payload size further, the properties= parameter can restrict the JSON output to only the strictly required fields, such as properties=date_tm-value%2Cmslp%2Cmslp-qa.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Temporal filtering utilizes the datetime parameter, strictly adhering to the ISO 8601/RFC 3339 format (e.g., YYYY-MM-DDTHH:MM:SSZ).</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API uniquely supports open-ended time extents utilizing the .. notation.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feature is vital for "watchdog" agents that must ingest a continuous stream of new observations post-deployment. By passing datetime=2026-01-01/.., the server returns exclusively the new records generated since that specific temporal datum, eliminating redundant data ingestion.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Format conversions are also handled natively; appending &amp;f=csv to a feature request instantly formats the output into a comma-separated values file, streamlining ingestion into downstream pandas dataframes or machine learning pipelines.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details the core API endpoints, parameters, and their associated CQL2 query syntax required for engineering a frazil ice detection data pipeline: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Function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 / CQL2 Query Syntax Example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Collection Overview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/collections/hydrometric-stations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JSON metadata, spatial extents, and schema details for the specified collection.</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Station Filtering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.../items?STATION_NUMBER=8400413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Isolates records specifically for the Bay d'Espoir primary meteorological station.</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Open-Ended Temporal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.../items?datetime=2026-01-20/..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Extracts continuous data from January 20, 2026, onward, ideal for real-time monitoring.</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CQL2 Logic Filter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.../items?filter=properties.TEMP &lt; -10 AND properties.WIND_SPEED &gt;= 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Server-side execution isolating only the observations that meet the critical frazil ice thresholds.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Pagination &amp; Limit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.../items?limit=500&amp;offset=1500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massive data payloads, bypassing the 10,000 record maximum limit iteratively.</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 Export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.../items?STATION_NUMBER=8400413&amp;f=csv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Converts the default JSON output into CSV format for immediate statistical processing.</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Architectural Framework of the IBM watsonx Orchestrate ADK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Translating raw, high-velocity meteorological data from the MSC GeoMet APIs into actionable, automated remediation workflows requires a highly sophisticated agentic software framework. The IBM watsonx Orchestrate Agent Development Kit (ADK) provides the necessary low-code and pro-code infrastructure to build, test, deploy, and govern intelligent, autonomous agents capable of interacting with complex enterprise utility systems.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Environment and Development Prerequisites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ADK is deployed as a comprehensive Python library and a highly versatile Command Line Interface (CLI) tool.</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tooling allows developers to define and configure agents securely on their local machines before pushing them to production SaaS instances.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To facilitate rapid iteration in complete isolation, developers utilize the watsonx Orchestrate Developer Edition—a fully self-contained local copy of the platform that exposes its own UI and API endpoints on http://localhost:4321.</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the Developer Edition locally requires rigorous hardware and software provisioning. The host machine must be provisioned with a minimum of 16 GB of RAM, 8 CPU cores, and 25 GB of available disk space.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Furthermore, if the deployment architecture requires advanced Document Processing capabilities—which is often necessary for agents parsing unstructured historical engineering reports or handwritten maintenance logs—memory allocation must be increased to a minimum of 19 GB to ensure stable operation.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system relies fundamentally on containerization; therefore, a Docker engine capable of executing docker compose is mandatory, with IBM explicitly recommending either Rancher Desktop or Colima for environment virtualization on macOS or Linux.</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Python environment must strictly utilize supported versions between 3.11 and 3.13.</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Following the creation of an isolated Python virtual environment (python -m venv.venv), installation is executed via the package manager using pip install --upgrade ibm-watsonx-orchestrate, which exposes the primary orchestrate CLI command used to manage the entire agent lifecycle.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Local deployment also requires specific environment variables defined in a .env file, primarily WO_DEVELOPER_EDITION_SOURCE, WO_INSTANCE, and an IBM Cloud WO_API_KEY for entitlement verification and registry access.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Definition, YAML Configuration, and Knowledge Bases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core of the ADK methodology is the declarative configuration of agents using strict YAML (or JSON) specification files.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This infrastructure-as-code approach ensures version control, peer review, and seamless deployment across multiple environments. An agent configuration file requires several mandatory structural fields. The document must define the specification version as spec_version: v1 and explicitly state the architectural type via the kind parameter, which accepts values such as native, assistant, or external.</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cognitive engine of the agent is defined by the llm parameter. This specifies the exact underlying foundation model hosted on the watsonx.ai inference engine that will process the agent's logic (e.g., llm: watsonx/ibm/granite-3-8b-instruct).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agent's operational boundaries, persona, and strict behavioral logic are codified within the instructions block utilizing natural language prompting.</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to ground the LLM's responses in factual, domain-specific engineering data, agents can be bound to knowledge bases. The knowledge_base array connects the agent to vectorized data stores containing proprietary documents.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ADK allows developers to connect to existing enterprise Milvus or Elasticsearch instances, or leverage a built-in Milvus instance by simply referencing documents in a YAML file.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When using the built-in instance, strict limits apply: developers can include up to 100 files per YAML, with maximum file sizes of 25 MB for .pdf, .docx, and .pptx files, 5 MB for .csv or .txt, and 1 MB for .xlsx.</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By connecting a knowledge base containing the precise Penstock 3 engineering schematics or NL Hydro's Advance Notification Protocol guidelines, the agent can reason accurately over proprietary utility data without risk of hallucination.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and the A2A Protocol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multifaceted, enterprise-level crises like a massive generation shortfall, watsonx Orchestrate leverages a Multi-Agent architecture. This paradigm divides monumental tasks into discrete, manageable sub-tasks, routed by a central "Supervisor" agent to specialized "Collaborator" agents.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For example, a Supervisor agent detecting a grid anomaly could route a weather verification task to a Meteorology Collaborator Agent, and an asset status task to an Engineering Collaborator Agent.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Inter-agent communication and task delegation are strictly governed by the Agent-to-Agent (A2A) Protocol, an open standard ensuring seamless interoperability across disparate software platforms.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The ADK supports integrating external agents built on alternative frameworks like LangGraph, CrewAI, or BeeAI, running independently on platforms like IBM Code Engine.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To register these external collaborators, developers define the provider field in the YAML manifest specifically as external_chat/A2A/0.3.0.</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Version 0.3.0 is the currently supported standard; earlier versions like 0.2.1 are deprecated.</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This guarantees compliance with the latest communication schemas, allowing reasoning paths, tool calls, and data payloads to flow securely between independent agents.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important to note current experimental limitations; while LangGraph agents can be imported, they must not be pre-compiled, and they cannot directly access other Orchestrate artifacts like tools or internal knowledge bases from within their isolated execution environment.</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description: | strings provided in the YAML files are critical; they are not merely passive metadata but are actively parsed by the Supervisor agent's LLM to determine dynamic routing logic and capability matching for delegation.</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 Integration for Tool Execution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agents to physically interact with the Environment Canada APIs, Energy Marketing databases, or distribution SCADA systems, they require execution tools. The ADK leverages the Model Context Protocol (MCP)—a standardized JSON-RPC based architecture—to securely connect agents to external API services.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Developers write custom Python logic to interface with external REST APIs and wrap these functions within an MCP server, often utilizing lightweight libraries like FastMCP.</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The MCP server exposes these functions as discrete, callable tools that the LLM can invoke. To manage these connections efficiently at an enterprise scale, developers utilize the ContextForge MCP Gateway.</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The MCP Gateway acts as a secure bridge, federating multiple MCP servers into a single registry and providing built-in features like JWT-based authentication, retry logic, and observability.</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function designed to execute a complex CQL2 GET request to the MSC GeoMet API is defined with rigid Pydantic input schemas in Python (e.g., explicitly defining latitude, longitude, and temperature_threshold data types).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The ADK intelligently infers the exact JSON schema automatically from the Python type hints and docstrings.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This inferred schema is then passed directly to the Granite LLM within the system prompt, ensuring the model understands precisely how to format its tool-call request payload without errors.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Furthermore, connection credentials can be managed securely via YAML, specifying whether the authentication is scoped to individual users (member) or shared across the organization (team), keeping sensitive API keys out of raw code.</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key YAML configuration parameters utilized by the ADK to define agent architectures: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YAML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 Description within ADK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spec_version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be set to v1 to validate the schema version of the configuration file.</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architecture type; accepts native, assistant, external, connection, etc..</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Specifies the exact foundation model utilized for inference (e.g., watsonx/ibm/granite-3-8b-instruct).</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 external A2A agents, defines the protocol version to ensure compatibility (e.g., external_chat/A2A/0.3.0).</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knowledge_base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Arrays pointing to vectorized document stores (Milvus/Elasticsearch) to ground the LLM in factual data.</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Actively parsed by the Supervisor agent to determine dynamic routing and task delegation.</w:t>
            </w:r>
            <w:r w:rsidDel="00000000" w:rsidR="00000000" w:rsidRPr="00000000">
              <w:rPr>
                <w:rFonts w:ascii="Google Sans" w:cs="Google Sans" w:eastAsia="Google Sans" w:hAnsi="Google Sans"/>
                <w:color w:val="444746"/>
                <w:sz w:val="24"/>
                <w:szCs w:val="24"/>
                <w:vertAlign w:val="superscript"/>
                <w:rtl w:val="0"/>
              </w:rPr>
              <w:t xml:space="preserve">65</w:t>
            </w:r>
          </w:p>
        </w:tc>
      </w:tr>
    </w:tbl>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Function Calling Mechanics of Granite-3.0-8B-Instruct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efficacy and determinism of an agentic framework rely entirely on the reasoning and structured output capabilities of its underlying Large Language Model (LLM). Within the IBM watsonx ecosystem, the </w:t>
      </w:r>
      <w:r w:rsidDel="00000000" w:rsidR="00000000" w:rsidRPr="00000000">
        <w:rPr>
          <w:rFonts w:ascii="Google Sans" w:cs="Google Sans" w:eastAsia="Google Sans" w:hAnsi="Google Sans"/>
          <w:b w:val="1"/>
          <w:bCs w:val="1"/>
          <w:color w:val="1f1f1f"/>
          <w:rtl w:val="0"/>
        </w:rPr>
        <w:t xml:space="preserve">Granite-3.0-8B-Instruct</w:t>
      </w:r>
      <w:r w:rsidDel="00000000" w:rsidR="00000000" w:rsidRPr="00000000">
        <w:rPr>
          <w:rFonts w:ascii="Google Sans" w:cs="Google Sans" w:eastAsia="Google Sans" w:hAnsi="Google Sans"/>
          <w:color w:val="1f1f1f"/>
          <w:rtl w:val="0"/>
        </w:rPr>
        <w:t xml:space="preserve"> model serves as the primary inference engine, specifically engineered for complex function calling, agentic workflows, and multi-step reasoning.</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Released under the permissive Apache 2.0 license, this 8-billion parameter model was fine-tuned from the Granite-3.0-8B-Base model.</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The training methodology utilized a diverse set of techniques, including supervised fine-tuning on highly curated enterprise datasets, and model alignment utilizing reinforcement learning to adhere to a structured chat format.</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Granite 3.0 models place an immense emphasis on trust and safety; the 8B Instruct model demonstrates industry-leading robustness on the AttaQ benchmark, which measures an LLM's vulnerability to adversarial prompts designed to provoke harmful or inappropriate outputs.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evaluated across comprehensive industry benchmarks, Granite-3.0-8B-Instruct demonstrates state-of-the-art performance in its weight class. On the IFEval 0-shot benchmark, it scored 52.27, outperforming comparative Llama-3.1 8B (50.37) and Mistral 7B (49.93) models.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On the MMLU 5-shot test, it achieved a score of 65.82, and it scored 8.22 on MT-Bench.</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Crucially, when evaluated against rigorous tool-calling benchmarks, including Berkeley's Function Calling Leaderboard evaluation set, it outperformed all leading open models of similar size, proving its reliability as the core engine for invoking external APIs.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Calling Architecture and the Jinja Prompt Template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Function calling (or tool calling) is the mechanism by which the language model bridges the gap between natural language comprehension and deterministic code execution.</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When a system prompt tasks the agent with retrieving the current freezing thresholds at Bay d'Espoir, Granite-3.0-8B-Instruct utilizes natural language processing (NLP) to parse the query syntax, cross-referencing the user's intent against the descriptions and parameters of the available tools (e.g., the MCP tool configured for the MSC GeoMet API).</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this complex reasoning, the LLM's context window must be perfectly formatted. When deploying the model via a high-throughput serving engine like vLLM, specific configuration flags must be instantiated upon server start: --enable-auto-tool-choice and strictly --tool-call-parser granite.</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model requires a highly customized Jinja template (tool_chat_template_granite.jinja) to properly serialize the conversation history and inject the available tool schemas into the prompt.</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The Jinja template structures the prompt by utilizing special control tokens that the model was explicitly trained to recognize. The array of available tools, defined strictly in JSON Schema format, is injected between the &lt;|start_of_role|&gt;available_tools&lt;|end_of_role|&gt; token and the &lt;|end_of_text|&gt; token.</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This rigid token structure ensures the model understands the exact parameters, required data types, and functional constraints of the external python functions it is permitted to invoke.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Payload Generation and the Execution Flow</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Granite model reasons that a tool invocation is necessary to fulfill a user request, it suspends standard conversational natural language generation. Instead, the model emits a highly specific &lt;|tool_call|&gt; token, followed immediately by a rigidly formatted JSON string.</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generated JSON payload strictly adheres to the JSON schema provided in the available tools section of the prompt. For example, to query the weather API, the model will output a structure identifying the function name and the extracted arguments: {"name": "get_eccc_weather", "arguments": {"station_id": "8400413", "parameter": "temperature"}}.</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It is critical that the &lt;|tool_call|&gt; token is emitted correctly; if the model simply generates valid JSON without the special control token, the execution engine will fail to recognize the intent to execute code.</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watsonx Orchestrate execution engine (or vLLM parser) intercepts this specific &lt;|tool_call|&gt; token, halts the LLM's generation loop, extracts the JSON payload, and executes the physical Python function against the external API using the parsed arguments.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external system (e.g., the MSC GeoMet API) successfully returns the real-time meteorological data, the Orchestrate engine appends this raw data back into the LLM's context window. This data response must be wrapped precisely within a &lt;|start_of_role|&gt;tool_response&lt;|end_of_role|&gt; token block, followed by the data, and closed with &lt;|end_of_text|&gt;.</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The model is then re-invoked. At this stage, having ingested the real-time data, it synthesizes the structured tool response into a natural language summary or, if the task is complex, triggers a subsequent tool call in a chained workflow.</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deterministic tokenization strategy allows Granite-3.0-8B-Instruct to execute highly complex, parallel function calls reliably, making it an exceptionally stable foundation for managing mission-critical grid infrastructure without hallucinating parameters or executing unauthorized API commands.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highlights the comparative performance of the Granite-3.0-8B-Instruct model against its peers on standard industry benchmarks, underscoring its capability as an enterprise-grade inference engine: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Mistral 7B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Llama-3.1 8B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Granite-3.0 8B Instruct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IFEval 0-shot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49.93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52.27</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MT-Bench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8.22</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MMLU 5-shot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68.27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65.82 </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AGI-Eval 5-shot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41.07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40.52 </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OBQA 0-shot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47.40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46.60 </w:t>
            </w:r>
            <w:r w:rsidDel="00000000" w:rsidR="00000000" w:rsidRPr="00000000">
              <w:rPr>
                <w:rFonts w:ascii="Google Sans" w:cs="Google Sans" w:eastAsia="Google Sans" w:hAnsi="Google Sans"/>
                <w:color w:val="444746"/>
                <w:sz w:val="24"/>
                <w:szCs w:val="24"/>
                <w:vertAlign w:val="superscript"/>
                <w:rtl w:val="0"/>
              </w:rPr>
              <w:t xml:space="preserve">76</w:t>
            </w:r>
          </w:p>
        </w:tc>
      </w:tr>
    </w:tbl>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Evaluation Criteria for AI Development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an autonomous prototype that integrates complex meteorological APIs via the watsonx ADK to solve infrastructural crises like the Bay d'Espoir frazil ice event requires strict adherence to specific evaluation standards. The IBM x CAIR Watsonx Hackathon (scheduled for May 29-31, 2026 at Memorial University) utilizes a rigorous 50-point rubric to assess the viability, technical depth, and overall impact of the proposed solutions.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judging matrix is distributed equally across five distinct categories, each worth a maximum of 10 points.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Submissions are graded on a strict qualitative scale: 9-10 points represents "Excellent," 7-8 points is "Good," 5-6 points is "Adequate," and 0-4 points indicates the project "Needs Work".</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Breakdown and Operational Application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Problem &amp; Relevance (10 Points)</w:t>
      </w:r>
      <w:r w:rsidDel="00000000" w:rsidR="00000000" w:rsidRPr="00000000">
        <w:rPr>
          <w:rFonts w:ascii="Google Sans" w:cs="Google Sans" w:eastAsia="Google Sans" w:hAnsi="Google Sans"/>
          <w:color w:val="1f1f1f"/>
          <w:rtl w:val="0"/>
        </w:rPr>
        <w:t xml:space="preserve"> The absolute foundation of a successful deployment is its applicability to a genuine, recognizable industry challenge. The rubric mandates the identification of a clear, real-world problem situated within specific, high-value sectors, including Ocean, Defense, Energy, Mining, or Manufacturing.</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Furthermore, the context must be distinctly relevant to Newfoundland and Labrador (NL).</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 project addressing the frazil ice blockage at Bay d'Espoir fits this criterion flawlessly, as it tackles an energy infrastructure vulnerability completely unique to the region's specific meteorological and geographic realities. The problem definition must be specific enough that it resonates immediately with industry decision-makers, proving that the team deeply understands the systemic operational stakes of a sudden 604 MW generation loss on an island grid.</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Innovation (10 Points)</w:t>
      </w:r>
      <w:r w:rsidDel="00000000" w:rsidR="00000000" w:rsidRPr="00000000">
        <w:rPr>
          <w:rFonts w:ascii="Google Sans" w:cs="Google Sans" w:eastAsia="Google Sans" w:hAnsi="Google Sans"/>
          <w:color w:val="1f1f1f"/>
          <w:rtl w:val="0"/>
        </w:rPr>
        <w:t xml:space="preserve"> Judges are instructed to look well beyond standard software implementations to reward novel and highly creative applications of the IBM watsonx platform.</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Standard chatbots that simply regurgitate RAG-based documents will score poorly. High scores in this category are awarded for fresh angles and approaches that the judges would not have anticipated.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Innovation in the context of grid management could involve the autonomous chaining of complex MCP tools—where a supervisor agent not only detects a critical temperature drop via the Environment Canada API, but proactively drafts a "Power Warning" notification and calculates the required emergency power imports from the Maritime Link, executing the entire predictive workflow without human prompting.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Technical Execution (10 Points)</w:t>
      </w:r>
      <w:r w:rsidDel="00000000" w:rsidR="00000000" w:rsidRPr="00000000">
        <w:rPr>
          <w:rFonts w:ascii="Google Sans" w:cs="Google Sans" w:eastAsia="Google Sans" w:hAnsi="Google Sans"/>
          <w:color w:val="1f1f1f"/>
          <w:rtl w:val="0"/>
        </w:rPr>
        <w:t xml:space="preserve"> Theoretical design must be backed by a highly functional proof-of-concept. The rubric requires meaningful, deep integration of at least one watsonx service (e.g., watsonx Orchestrate or the watsonx.ai inference engine).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software architecture must be coherent, demonstrating a working pipeline from real-time data ingestion to LLM reasoning to deterministic output generation. Evaluators will assess the robust configuration of the ADK YAML manifests, the correct implementation of the A2A protocol (version 0.3.0) for multi-agent collaboration, and the precise formatting of Granite-3.0-8B-Instruct prompt templates using Jinja to ensure error-free tool calling.</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Crucially, the use of the platform must be genuine and central to the architecture's function, not merely mentioned in passing.</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Video &amp; Communication (10 Points)</w:t>
      </w:r>
      <w:r w:rsidDel="00000000" w:rsidR="00000000" w:rsidRPr="00000000">
        <w:rPr>
          <w:rFonts w:ascii="Google Sans" w:cs="Google Sans" w:eastAsia="Google Sans" w:hAnsi="Google Sans"/>
          <w:color w:val="1f1f1f"/>
          <w:rtl w:val="0"/>
        </w:rPr>
        <w:t xml:space="preserve"> The ability to translate complex, multi-agent AI architecture into digestible business value is critical for enterprise adoption. Teams must deliver clear, concise storytelling that appeals equally to technical engineers and business stakeholders (e.g., utility executives).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narrative arc of the presentation must follow a strict, logical progression: clearly defining the problem (grid instability due to frazil ice), explaining the technical solution (predictive agentic workflows via ADK), and demonstrating the solution's impact through a structured overview.</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 Impact &amp; Value (10 Points)</w:t>
      </w:r>
      <w:r w:rsidDel="00000000" w:rsidR="00000000" w:rsidRPr="00000000">
        <w:rPr>
          <w:rFonts w:ascii="Google Sans" w:cs="Google Sans" w:eastAsia="Google Sans" w:hAnsi="Google Sans"/>
          <w:color w:val="1f1f1f"/>
          <w:rtl w:val="0"/>
        </w:rPr>
        <w:t xml:space="preserve"> Finally, the solution must demonstrate a quantified, or highly reasoned, business or social impact. The evaluators will filter the project through a fundamental question: "Would a real stakeholder fund or deploy this?".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For a predictive frazil ice monitoring system utilizing MSC GeoMet data, the value proposition is immense. By providing NLSO grid operators with automated, localized meteorological warnings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intake occlusion occurs, utilities can preemptively spin up alternative thermal reserves at Holyrood, or secure cheaper external power imports via Energy Marketing ahead of peak pricing, ultimately saving millions of dollars, averting catastrophic infrastructure damage, and protecting the public from winter outages.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quick-reference breakdown of the hackathon judging rubric constraints: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Grading Requirements / Expectations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Problem &amp; Relevance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Clear NL context; strictly targets Ocean/Energy/Defense/Mining; highly recognizable by industry decision-makers.</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Innovation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Creative, novel use of watsonx; moves beyond standard conversational demos into unanticipated agentic approaches.</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Technical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Working proof-of-concept; coherent architectural design; genuine, deep integration of watsonx services.</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Video &amp; Communication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Clear narrative structure (Problem </w:t>
            </w:r>
            <w:r w:rsidDel="00000000" w:rsidR="00000000" w:rsidRPr="00000000">
              <w:rPr>
                <w:rFonts w:ascii="Google Sans" w:cs="Google Sans" w:eastAsia="Google Sans" w:hAnsi="Google Sans"/>
                <w:color w:val="1f1f1f"/>
                <w:shd w:fill="auto" w:val="clear"/>
              </w:rPr>
              <w:drawing>
                <wp:inline distB="19050" distT="19050" distL="19050" distR="19050">
                  <wp:extent cx="172905" cy="207486"/>
                  <wp:effectExtent b="0" l="0" r="0" t="0"/>
                  <wp:docPr id="25"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172905" cy="2074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Solution </w:t>
            </w:r>
            <w:r w:rsidDel="00000000" w:rsidR="00000000" w:rsidRPr="00000000">
              <w:rPr>
                <w:rFonts w:ascii="Google Sans" w:cs="Google Sans" w:eastAsia="Google Sans" w:hAnsi="Google Sans"/>
                <w:color w:val="1f1f1f"/>
                <w:shd w:fill="auto" w:val="clear"/>
              </w:rPr>
              <w:drawing>
                <wp:inline distB="19050" distT="19050" distL="19050" distR="19050">
                  <wp:extent cx="172905" cy="207486"/>
                  <wp:effectExtent b="0" l="0" r="0" t="0"/>
                  <wp:docPr id="28"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172905" cy="2074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Impact); understandable to dual technical/business audiences.</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Impact &amp;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Quantifiable business/social impact; presents a highly believable, fundable path to real-world utility deployment.</w:t>
            </w:r>
            <w:r w:rsidDel="00000000" w:rsidR="00000000" w:rsidRPr="00000000">
              <w:rPr>
                <w:rFonts w:ascii="Google Sans" w:cs="Google Sans" w:eastAsia="Google Sans" w:hAnsi="Google Sans"/>
                <w:color w:val="444746"/>
                <w:sz w:val="24"/>
                <w:szCs w:val="24"/>
                <w:vertAlign w:val="superscript"/>
                <w:rtl w:val="0"/>
              </w:rPr>
              <w:t xml:space="preserve">57</w:t>
            </w:r>
          </w:p>
        </w:tc>
      </w:tr>
    </w:tbl>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Frazil Ice and the Power System: Keeping customers informed when ..., accessed on May 30, 2026, </w:t>
      </w:r>
      <w:hyperlink r:id="rId32">
        <w:r w:rsidDel="00000000" w:rsidR="00000000" w:rsidRPr="00000000">
          <w:rPr>
            <w:rFonts w:ascii="Google Sans" w:cs="Google Sans" w:eastAsia="Google Sans" w:hAnsi="Google Sans"/>
            <w:color w:val="0000ee"/>
            <w:sz w:val="24"/>
            <w:szCs w:val="24"/>
            <w:u w:val="single"/>
            <w:rtl w:val="0"/>
          </w:rPr>
          <w:t xml:space="preserve">https://nlhydro.com/good-to-know/frazil-ice-and-the-power-system-keeping-customers-informed-when-it-matters-most/</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Frazil Ice and our Power System: The trouble with frazil ..., accessed on May 30, 2026, </w:t>
      </w:r>
      <w:hyperlink r:id="rId33">
        <w:r w:rsidDel="00000000" w:rsidR="00000000" w:rsidRPr="00000000">
          <w:rPr>
            <w:rFonts w:ascii="Google Sans" w:cs="Google Sans" w:eastAsia="Google Sans" w:hAnsi="Google Sans"/>
            <w:color w:val="0000ee"/>
            <w:sz w:val="24"/>
            <w:szCs w:val="24"/>
            <w:u w:val="single"/>
            <w:rtl w:val="0"/>
          </w:rPr>
          <w:t xml:space="preserve">https://nlhydro.com/good-to-know/frazil-ice-and-our-power-system-the-trouble-with-frazil/</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Generation Assets - Newfoundland &amp; Labrador Hydro, accessed on May 30, 2026, </w:t>
      </w:r>
      <w:hyperlink r:id="rId34">
        <w:r w:rsidDel="00000000" w:rsidR="00000000" w:rsidRPr="00000000">
          <w:rPr>
            <w:rFonts w:ascii="Google Sans" w:cs="Google Sans" w:eastAsia="Google Sans" w:hAnsi="Google Sans"/>
            <w:color w:val="0000ee"/>
            <w:sz w:val="24"/>
            <w:szCs w:val="24"/>
            <w:u w:val="single"/>
            <w:rtl w:val="0"/>
          </w:rPr>
          <w:t xml:space="preserve">https://nlhydro.com/about-us/our-electricity-system/our-generation-assets/</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the Island Interconnected Electrical System - Muskrat Falls Inquiry, accessed on May 30, 2026, </w:t>
      </w:r>
      <w:hyperlink r:id="rId35">
        <w:r w:rsidDel="00000000" w:rsidR="00000000" w:rsidRPr="00000000">
          <w:rPr>
            <w:rFonts w:ascii="Google Sans" w:cs="Google Sans" w:eastAsia="Google Sans" w:hAnsi="Google Sans"/>
            <w:color w:val="0000ee"/>
            <w:sz w:val="24"/>
            <w:szCs w:val="24"/>
            <w:u w:val="single"/>
            <w:rtl w:val="0"/>
          </w:rPr>
          <w:t xml:space="preserve">https://www.muskratfallsinquiry.ca/files/P-00049.pdf</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 d'Espoir Hydro Electric Facility Upgrades, accessed on May 30, 2026, </w:t>
      </w:r>
      <w:hyperlink r:id="rId36">
        <w:r w:rsidDel="00000000" w:rsidR="00000000" w:rsidRPr="00000000">
          <w:rPr>
            <w:rFonts w:ascii="Google Sans" w:cs="Google Sans" w:eastAsia="Google Sans" w:hAnsi="Google Sans"/>
            <w:color w:val="0000ee"/>
            <w:sz w:val="24"/>
            <w:szCs w:val="24"/>
            <w:u w:val="single"/>
            <w:rtl w:val="0"/>
          </w:rPr>
          <w:t xml:space="preserve">https://nlhydro.com/about-us/our-electricity-system/major-projects/bay-despoir-hydro-electric-facility-upgrades/</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NEWFOUNDLAND AND LABRADOR BOARD OF COMMISSIONERS OF PUBLIC UTILITIES AN ORDER OF THE BOARD NO. P.U. 6(2023) IN THE MATTER OF the, accessed on May 30, 2026, </w:t>
      </w:r>
      <w:hyperlink r:id="rId37">
        <w:r w:rsidDel="00000000" w:rsidR="00000000" w:rsidRPr="00000000">
          <w:rPr>
            <w:rFonts w:ascii="Google Sans" w:cs="Google Sans" w:eastAsia="Google Sans" w:hAnsi="Google Sans"/>
            <w:color w:val="0000ee"/>
            <w:sz w:val="24"/>
            <w:szCs w:val="24"/>
            <w:u w:val="single"/>
            <w:rtl w:val="0"/>
          </w:rPr>
          <w:t xml:space="preserve">http://www.pub.nl.ca/PU/orders/2023/P.U.%206(2023).PDF</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for Approval of Capital Expenditures for Section Replacement and Weld Refurbishment for Bay d'Espoir Hydroelectric Generating - Newfoundland &amp; Labrador Hydro, accessed on May 30, 2026, </w:t>
      </w:r>
      <w:hyperlink r:id="rId38">
        <w:r w:rsidDel="00000000" w:rsidR="00000000" w:rsidRPr="00000000">
          <w:rPr>
            <w:rFonts w:ascii="Google Sans" w:cs="Google Sans" w:eastAsia="Google Sans" w:hAnsi="Google Sans"/>
            <w:color w:val="0000ee"/>
            <w:sz w:val="24"/>
            <w:szCs w:val="24"/>
            <w:u w:val="single"/>
            <w:rtl w:val="0"/>
          </w:rPr>
          <w:t xml:space="preserve">https://nlhydro.com/wp-content/uploads/2025/05/From-NLH-Approval-of-Section-Replacement-and-Weld-Refurbishment-of-Penstock-1-at-the-Bay-dEspoir-Hydroelectric-Generating-Facility-Updated-Information-REDACTED-2024-10-16.pdf</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PUB-NLH-006 Bay d'Espoir Penstock 3 Weld Refurbishment and ..., accessed on May 30, 2026, </w:t>
      </w:r>
      <w:hyperlink r:id="rId39">
        <w:r w:rsidDel="00000000" w:rsidR="00000000" w:rsidRPr="00000000">
          <w:rPr>
            <w:rFonts w:ascii="Google Sans" w:cs="Google Sans" w:eastAsia="Google Sans" w:hAnsi="Google Sans"/>
            <w:color w:val="0000ee"/>
            <w:sz w:val="24"/>
            <w:szCs w:val="24"/>
            <w:u w:val="single"/>
            <w:rtl w:val="0"/>
          </w:rPr>
          <w:t xml:space="preserve">http://www.pub.nl.ca/applications/NLH2026SectionReplacement/responses/PUB-NLH-006.PDF</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NEWFOUNDLAND AND LABRADOR BOARD OF COMMISSIONERS OF PUBLIC UTILITIES REASONS FOR DECISION IN RELATION TO ORDER NO. P.U. 12(2026), accessed on May 30, 2026, </w:t>
      </w:r>
      <w:hyperlink r:id="rId40">
        <w:r w:rsidDel="00000000" w:rsidR="00000000" w:rsidRPr="00000000">
          <w:rPr>
            <w:rFonts w:ascii="Google Sans" w:cs="Google Sans" w:eastAsia="Google Sans" w:hAnsi="Google Sans"/>
            <w:color w:val="0000ee"/>
            <w:sz w:val="24"/>
            <w:szCs w:val="24"/>
            <w:u w:val="single"/>
            <w:rtl w:val="0"/>
          </w:rPr>
          <w:t xml:space="preserve">http://www.pub.nf.ca/PU/orders/2026/P.U.%2012(2026)%20-%20Reasons%20for%20Decision%20-%202026-05-07.PDF</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Expanding and Upgrading Our Bay d'Espoir Facility - Newfoundland &amp; Labrador Hydro, accessed on May 30, 2026, </w:t>
      </w:r>
      <w:hyperlink r:id="rId41">
        <w:r w:rsidDel="00000000" w:rsidR="00000000" w:rsidRPr="00000000">
          <w:rPr>
            <w:rFonts w:ascii="Google Sans" w:cs="Google Sans" w:eastAsia="Google Sans" w:hAnsi="Google Sans"/>
            <w:color w:val="0000ee"/>
            <w:sz w:val="24"/>
            <w:szCs w:val="24"/>
            <w:u w:val="single"/>
            <w:rtl w:val="0"/>
          </w:rPr>
          <w:t xml:space="preserve">https://nlhydro.com/good-to-know/expanding-and-upgrading-our-bay-despoir-facility/</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 d'Espoir Unit 8 – Environmental Assessment Registration - Newfoundland &amp; Labrador Hydro, accessed on May 30, 2026, </w:t>
      </w:r>
      <w:hyperlink r:id="rId42">
        <w:r w:rsidDel="00000000" w:rsidR="00000000" w:rsidRPr="00000000">
          <w:rPr>
            <w:rFonts w:ascii="Google Sans" w:cs="Google Sans" w:eastAsia="Google Sans" w:hAnsi="Google Sans"/>
            <w:color w:val="0000ee"/>
            <w:sz w:val="24"/>
            <w:szCs w:val="24"/>
            <w:u w:val="single"/>
            <w:rtl w:val="0"/>
          </w:rPr>
          <w:t xml:space="preserve">https://nlhydro.com/wp-content/uploads/2025/08/EA-2369-Bay-dEspoir-hydroelectric-Generating-Unit-8-registration.pdf.pdf</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Attachment 21 - Bay d'Espoir Hydro Generating Unit 8 Summary Report, accessed on May 30, 2026, </w:t>
      </w:r>
      <w:hyperlink r:id="rId43">
        <w:r w:rsidDel="00000000" w:rsidR="00000000" w:rsidRPr="00000000">
          <w:rPr>
            <w:rFonts w:ascii="Google Sans" w:cs="Google Sans" w:eastAsia="Google Sans" w:hAnsi="Google Sans"/>
            <w:color w:val="0000ee"/>
            <w:sz w:val="24"/>
            <w:szCs w:val="24"/>
            <w:u w:val="single"/>
            <w:rtl w:val="0"/>
          </w:rPr>
          <w:t xml:space="preserve">http://www.pub.nl.ca/applications/NLH2025AvalonCombustionMarch/report/From%20NLH%20-%20Attachment%2021%20-%20Bay%20d%E2%80%99Espoir%20Hydro%20Generating%20Unit%208%20Summary%20Report%20-%20November%202022%20-%202025-06-13.PDF</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Holyrood Thermal Generating Station - Global Energy Monitor, accessed on May 30, 2026, </w:t>
      </w:r>
      <w:hyperlink r:id="rId44">
        <w:r w:rsidDel="00000000" w:rsidR="00000000" w:rsidRPr="00000000">
          <w:rPr>
            <w:rFonts w:ascii="Google Sans" w:cs="Google Sans" w:eastAsia="Google Sans" w:hAnsi="Google Sans"/>
            <w:color w:val="0000ee"/>
            <w:sz w:val="24"/>
            <w:szCs w:val="24"/>
            <w:u w:val="single"/>
            <w:rtl w:val="0"/>
          </w:rPr>
          <w:t xml:space="preserve">https://www.gem.wiki/Holyrood_Thermal_Generating_Station</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Newfoundland and Labrador's Energy Resources, accessed on May 30, 2026, </w:t>
      </w:r>
      <w:hyperlink r:id="rId45">
        <w:r w:rsidDel="00000000" w:rsidR="00000000" w:rsidRPr="00000000">
          <w:rPr>
            <w:rFonts w:ascii="Google Sans" w:cs="Google Sans" w:eastAsia="Google Sans" w:hAnsi="Google Sans"/>
            <w:color w:val="0000ee"/>
            <w:sz w:val="24"/>
            <w:szCs w:val="24"/>
            <w:u w:val="single"/>
            <w:rtl w:val="0"/>
          </w:rPr>
          <w:t xml:space="preserve">https://www.atlanticaenergy.org/energy-knowledge-centre/energy-maps/newfoundland-and-labradors-energy-resources/</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Holyrood Thermal Generating Station - Wikipedia, accessed on May 30,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https://en.wikipedia.org/wiki/Holyrood_Thermal_Generating_Station</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Holyrood Thermal Generating Station: Requirements 2011 to 2020 - Board of Commissioners of Public Utilities, accessed on May 30, 2026, </w:t>
      </w:r>
      <w:hyperlink r:id="rId47">
        <w:r w:rsidDel="00000000" w:rsidR="00000000" w:rsidRPr="00000000">
          <w:rPr>
            <w:rFonts w:ascii="Google Sans" w:cs="Google Sans" w:eastAsia="Google Sans" w:hAnsi="Google Sans"/>
            <w:color w:val="0000ee"/>
            <w:sz w:val="24"/>
            <w:szCs w:val="24"/>
            <w:u w:val="single"/>
            <w:rtl w:val="0"/>
          </w:rPr>
          <w:t xml:space="preserve">http://www.pub.nl.ca/applications/ARCHIVE/NLH2012Capital/files/supplement/reports/HTGS-Requirement-July-11.pdf</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Newfoundland and Labrador Hydro — 2018 Capital Budget Application - Board of Commissioners of Public Utilities, accessed on May 30, 2026, </w:t>
      </w:r>
      <w:hyperlink r:id="rId48">
        <w:r w:rsidDel="00000000" w:rsidR="00000000" w:rsidRPr="00000000">
          <w:rPr>
            <w:rFonts w:ascii="Google Sans" w:cs="Google Sans" w:eastAsia="Google Sans" w:hAnsi="Google Sans"/>
            <w:color w:val="0000ee"/>
            <w:sz w:val="24"/>
            <w:szCs w:val="24"/>
            <w:u w:val="single"/>
            <w:rtl w:val="0"/>
          </w:rPr>
          <w:t xml:space="preserve">http://pub.nl.ca/applications/2018/NLH2018Capital/applications/From%20NLH%20-%202018%20Capital%20Budget%20Application%20-%20Volume%201%20-%202017-07-28.pdf</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pb-947-2018.pdf - Newfoundland &amp; Labrador Hydro, accessed on May 30, 2026, </w:t>
      </w:r>
      <w:hyperlink r:id="rId49">
        <w:r w:rsidDel="00000000" w:rsidR="00000000" w:rsidRPr="00000000">
          <w:rPr>
            <w:rFonts w:ascii="Google Sans" w:cs="Google Sans" w:eastAsia="Google Sans" w:hAnsi="Google Sans"/>
            <w:color w:val="0000ee"/>
            <w:sz w:val="24"/>
            <w:szCs w:val="24"/>
            <w:u w:val="single"/>
            <w:rtl w:val="0"/>
          </w:rPr>
          <w:t xml:space="preserve">https://nlhydro.com/wp-content/uploads/2022/01/pb-947-2018.pdf</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HVdc Converter Stations and Electrodes, accessed on May 30, 2026, </w:t>
      </w:r>
      <w:hyperlink r:id="rId50">
        <w:r w:rsidDel="00000000" w:rsidR="00000000" w:rsidRPr="00000000">
          <w:rPr>
            <w:rFonts w:ascii="Google Sans" w:cs="Google Sans" w:eastAsia="Google Sans" w:hAnsi="Google Sans"/>
            <w:color w:val="0000ee"/>
            <w:sz w:val="24"/>
            <w:szCs w:val="24"/>
            <w:u w:val="single"/>
            <w:rtl w:val="0"/>
          </w:rPr>
          <w:t xml:space="preserve">http://www.pub.nf.ca/applications/ARCHIVE/MuskratFalls2011/files/mhi/MHI-Report-VolumeII-HVDC.pdf</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Labrador-Island Link aces the 700-MW test, paving the way for Muskrat Falls completion, accessed on May 30, 2026, </w:t>
      </w:r>
      <w:hyperlink r:id="rId51">
        <w:r w:rsidDel="00000000" w:rsidR="00000000" w:rsidRPr="00000000">
          <w:rPr>
            <w:rFonts w:ascii="Google Sans" w:cs="Google Sans" w:eastAsia="Google Sans" w:hAnsi="Google Sans"/>
            <w:color w:val="0000ee"/>
            <w:sz w:val="24"/>
            <w:szCs w:val="24"/>
            <w:u w:val="single"/>
            <w:rtl w:val="0"/>
          </w:rPr>
          <w:t xml:space="preserve">https://www.cbc.ca/news/canada/newfoundland-labrador/labrador-island-link-test-1.6805446</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Labrador Island Link Case Study - GE Vernova, accessed on May 30, 2026, </w:t>
      </w:r>
      <w:hyperlink r:id="rId52">
        <w:r w:rsidDel="00000000" w:rsidR="00000000" w:rsidRPr="00000000">
          <w:rPr>
            <w:rFonts w:ascii="Google Sans" w:cs="Google Sans" w:eastAsia="Google Sans" w:hAnsi="Google Sans"/>
            <w:color w:val="0000ee"/>
            <w:sz w:val="24"/>
            <w:szCs w:val="24"/>
            <w:u w:val="single"/>
            <w:rtl w:val="0"/>
          </w:rPr>
          <w:t xml:space="preserve">https://www.gevernova.com/grid-solutions/sites/default/files/2025-11/Labrador-Island-Link-Case-Study-EN-N33189-Hybrid-202507-R002.pdf</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Emera Newfoundland and Labrador Maritime Link Project Engineering Review of the Project, accessed on May 30, 2026, </w:t>
      </w:r>
      <w:hyperlink r:id="rId53">
        <w:r w:rsidDel="00000000" w:rsidR="00000000" w:rsidRPr="00000000">
          <w:rPr>
            <w:rFonts w:ascii="Google Sans" w:cs="Google Sans" w:eastAsia="Google Sans" w:hAnsi="Google Sans"/>
            <w:color w:val="0000ee"/>
            <w:sz w:val="24"/>
            <w:szCs w:val="24"/>
            <w:u w:val="single"/>
            <w:rtl w:val="0"/>
          </w:rPr>
          <w:t xml:space="preserve">https://www.emeranl.com/docs/librariesprovider13/maritime-link-documents/2013-regulatory-process/app-3-01-technical-appendix.pdf?sfvrsn=a59dc7f7_2</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Emera Newfoundland and Labrador Maritime Link Environmental Assessment Report - Government of Nova Scotia, accessed on May 30, 2026, </w:t>
      </w:r>
      <w:hyperlink r:id="rId54">
        <w:r w:rsidDel="00000000" w:rsidR="00000000" w:rsidRPr="00000000">
          <w:rPr>
            <w:rFonts w:ascii="Google Sans" w:cs="Google Sans" w:eastAsia="Google Sans" w:hAnsi="Google Sans"/>
            <w:color w:val="0000ee"/>
            <w:sz w:val="24"/>
            <w:szCs w:val="24"/>
            <w:u w:val="single"/>
            <w:rtl w:val="0"/>
          </w:rPr>
          <w:t xml:space="preserve">https://novascotia.ca/nse/ea/maritime-link/2_ENL_Section_1.0-3.0.pdf</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Lower Churchill Project to Become a Reality; Province Signs Partnership Agreement with Emera Inc. for Development of Muskrat Falls - News Releases, accessed on May 30, 2026, </w:t>
      </w:r>
      <w:hyperlink r:id="rId55">
        <w:r w:rsidDel="00000000" w:rsidR="00000000" w:rsidRPr="00000000">
          <w:rPr>
            <w:rFonts w:ascii="Google Sans" w:cs="Google Sans" w:eastAsia="Google Sans" w:hAnsi="Google Sans"/>
            <w:color w:val="0000ee"/>
            <w:sz w:val="24"/>
            <w:szCs w:val="24"/>
            <w:u w:val="single"/>
            <w:rtl w:val="0"/>
          </w:rPr>
          <w:t xml:space="preserve">https://www.releases.gov.nl.ca/releases/2010/exec/1118n06.htm</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May 30, 2026, </w:t>
      </w:r>
      <w:hyperlink r:id="rId56">
        <w:r w:rsidDel="00000000" w:rsidR="00000000" w:rsidRPr="00000000">
          <w:rPr>
            <w:rFonts w:ascii="Google Sans" w:cs="Google Sans" w:eastAsia="Google Sans" w:hAnsi="Google Sans"/>
            <w:color w:val="0000ee"/>
            <w:sz w:val="24"/>
            <w:szCs w:val="24"/>
            <w:u w:val="single"/>
            <w:rtl w:val="0"/>
          </w:rPr>
          <w:t xml:space="preserve">https://nlhydro.com/about-us/our-electricity-system/our-generation-assets/#:~:text=Holyrood%20Thermal%20Generating%20Station%20(490%20MW)&amp;text=6%20fuel%20and%20consists%20of,generating%20capacity%20of%20490%20MW.</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Hydroelectric power development and the ice regime of inland waters : a northern community perspective - Canada.ca, accessed on May 30, 2026, </w:t>
      </w:r>
      <w:hyperlink r:id="rId57">
        <w:r w:rsidDel="00000000" w:rsidR="00000000" w:rsidRPr="00000000">
          <w:rPr>
            <w:rFonts w:ascii="Google Sans" w:cs="Google Sans" w:eastAsia="Google Sans" w:hAnsi="Google Sans"/>
            <w:color w:val="0000ee"/>
            <w:sz w:val="24"/>
            <w:szCs w:val="24"/>
            <w:u w:val="single"/>
            <w:rtl w:val="0"/>
          </w:rPr>
          <w:t xml:space="preserve">https://waves-vagues.dfo-mpo.gc.ca/Library/40680915.pdf</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Frazil Ice Formation, - DTIC, accessed on May 30, 2026, </w:t>
      </w:r>
      <w:hyperlink r:id="rId58">
        <w:r w:rsidDel="00000000" w:rsidR="00000000" w:rsidRPr="00000000">
          <w:rPr>
            <w:rFonts w:ascii="Google Sans" w:cs="Google Sans" w:eastAsia="Google Sans" w:hAnsi="Google Sans"/>
            <w:color w:val="0000ee"/>
            <w:sz w:val="24"/>
            <w:szCs w:val="24"/>
            <w:u w:val="single"/>
            <w:rtl w:val="0"/>
          </w:rPr>
          <w:t xml:space="preserve">https://apps.dtic.mil/sti/tr/pdf/ADA147425.pdf</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Prevention of Water Intake Blockage by Ice during Supercooling Events - ASCE Library, accessed on May 30, 2026, </w:t>
      </w:r>
      <w:hyperlink r:id="rId59">
        <w:r w:rsidDel="00000000" w:rsidR="00000000" w:rsidRPr="00000000">
          <w:rPr>
            <w:rFonts w:ascii="Google Sans" w:cs="Google Sans" w:eastAsia="Google Sans" w:hAnsi="Google Sans"/>
            <w:color w:val="0000ee"/>
            <w:sz w:val="24"/>
            <w:szCs w:val="24"/>
            <w:u w:val="single"/>
            <w:rtl w:val="0"/>
          </w:rPr>
          <w:t xml:space="preserve">https://ascelibrary.org/doi/10.1061/JCRGEI.CRENG-676</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 Hydro Clearing Ice From Intakes to Get Bay d'Espoir Hydro Plant ..., accessed on May 30, 2026, </w:t>
      </w:r>
      <w:hyperlink r:id="rId60">
        <w:r w:rsidDel="00000000" w:rsidR="00000000" w:rsidRPr="00000000">
          <w:rPr>
            <w:rFonts w:ascii="Google Sans" w:cs="Google Sans" w:eastAsia="Google Sans" w:hAnsi="Google Sans"/>
            <w:color w:val="0000ee"/>
            <w:sz w:val="24"/>
            <w:szCs w:val="24"/>
            <w:u w:val="single"/>
            <w:rtl w:val="0"/>
          </w:rPr>
          <w:t xml:space="preserve">https://vocm.com/2026/01/23/290032/</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PUB-NLH-598 Island Interconnected System Supply Issues and Power Outages, accessed on May 30, 2026, </w:t>
      </w:r>
      <w:hyperlink r:id="rId61">
        <w:r w:rsidDel="00000000" w:rsidR="00000000" w:rsidRPr="00000000">
          <w:rPr>
            <w:rFonts w:ascii="Google Sans" w:cs="Google Sans" w:eastAsia="Google Sans" w:hAnsi="Google Sans"/>
            <w:color w:val="0000ee"/>
            <w:sz w:val="24"/>
            <w:szCs w:val="24"/>
            <w:u w:val="single"/>
            <w:rtl w:val="0"/>
          </w:rPr>
          <w:t xml:space="preserve">http://pub.nl.ca/applications/IslandInterconnectedSystem/files/rfi/PUB-NLH-598.pdf</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Warning Lifted; Six Units at Bay d'Espoir Back in Service - VOCM, accessed on May 30, 2026, </w:t>
      </w:r>
      <w:hyperlink r:id="rId62">
        <w:r w:rsidDel="00000000" w:rsidR="00000000" w:rsidRPr="00000000">
          <w:rPr>
            <w:rFonts w:ascii="Google Sans" w:cs="Google Sans" w:eastAsia="Google Sans" w:hAnsi="Google Sans"/>
            <w:color w:val="0000ee"/>
            <w:sz w:val="24"/>
            <w:szCs w:val="24"/>
            <w:u w:val="single"/>
            <w:rtl w:val="0"/>
          </w:rPr>
          <w:t xml:space="preserve">https://vocm.com/2026/01/25/power-warning-lifted-6-units-at-bay-despior-back-in-service/</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Frazil Ice and the Power System: The behind-the-scenes role of Energy Marketing and Resource Production and Planning - Newfoundland &amp; Labrador Hydro, accessed on May 30, 2026, </w:t>
      </w:r>
      <w:hyperlink r:id="rId63">
        <w:r w:rsidDel="00000000" w:rsidR="00000000" w:rsidRPr="00000000">
          <w:rPr>
            <w:rFonts w:ascii="Google Sans" w:cs="Google Sans" w:eastAsia="Google Sans" w:hAnsi="Google Sans"/>
            <w:color w:val="0000ee"/>
            <w:sz w:val="24"/>
            <w:szCs w:val="24"/>
            <w:u w:val="single"/>
            <w:rtl w:val="0"/>
          </w:rPr>
          <w:t xml:space="preserve">https://nlhydro.com/good-to-know/frazil-ice-and-the-power-system-the-behind-the-scenes-role-of-energy-marketing-and-rpp/</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Power Watch lifted - Newfoundland &amp; Labrador Hydro, accessed on May 30, 2026, </w:t>
      </w:r>
      <w:hyperlink r:id="rId64">
        <w:r w:rsidDel="00000000" w:rsidR="00000000" w:rsidRPr="00000000">
          <w:rPr>
            <w:rFonts w:ascii="Google Sans" w:cs="Google Sans" w:eastAsia="Google Sans" w:hAnsi="Google Sans"/>
            <w:color w:val="0000ee"/>
            <w:sz w:val="24"/>
            <w:szCs w:val="24"/>
            <w:u w:val="single"/>
            <w:rtl w:val="0"/>
          </w:rPr>
          <w:t xml:space="preserve">https://nlhydro.com/update-on-status-of-our-electricity-system/</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Dominant frazil ice production in the Cape Darnley polynya leading to Antarctic Bottom Water formation - PMC, accessed on May 30,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https://pmc.ncbi.nlm.nih.gov/articles/PMC9581479/</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Frazil ice events: Assessing what to expect in the future | Hydrology Research, accessed on May 30, 2026, </w:t>
      </w:r>
      <w:hyperlink r:id="rId66">
        <w:r w:rsidDel="00000000" w:rsidR="00000000" w:rsidRPr="00000000">
          <w:rPr>
            <w:rFonts w:ascii="Google Sans" w:cs="Google Sans" w:eastAsia="Google Sans" w:hAnsi="Google Sans"/>
            <w:color w:val="0000ee"/>
            <w:sz w:val="24"/>
            <w:szCs w:val="24"/>
            <w:u w:val="single"/>
            <w:rtl w:val="0"/>
          </w:rPr>
          <w:t xml:space="preserve">https://iwaponline.com/hr/article/54/6/770/95508/Frazil-ice-events-Assessing-what-to-expect-in-the</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Measurements of frazil ice flocs in rivers - TC, accessed on May 30, 2026, </w:t>
      </w:r>
      <w:hyperlink r:id="rId67">
        <w:r w:rsidDel="00000000" w:rsidR="00000000" w:rsidRPr="00000000">
          <w:rPr>
            <w:rFonts w:ascii="Google Sans" w:cs="Google Sans" w:eastAsia="Google Sans" w:hAnsi="Google Sans"/>
            <w:color w:val="0000ee"/>
            <w:sz w:val="24"/>
            <w:szCs w:val="24"/>
            <w:u w:val="single"/>
            <w:rtl w:val="0"/>
          </w:rPr>
          <w:t xml:space="preserve">https://tc.copernicus.org/articles/18/4177/2024/</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the Impact of Ice Formation in Leads upon the Sea Ice Pack Mass Balance Using a New Frazil and Grease Ice Parameterization in - AMS Journals, accessed on May 30, 2026, </w:t>
      </w:r>
      <w:hyperlink r:id="rId68">
        <w:r w:rsidDel="00000000" w:rsidR="00000000" w:rsidRPr="00000000">
          <w:rPr>
            <w:rFonts w:ascii="Google Sans" w:cs="Google Sans" w:eastAsia="Google Sans" w:hAnsi="Google Sans"/>
            <w:color w:val="0000ee"/>
            <w:sz w:val="24"/>
            <w:szCs w:val="24"/>
            <w:u w:val="single"/>
            <w:rtl w:val="0"/>
          </w:rPr>
          <w:t xml:space="preserve">https://journals.ametsoc.org/view/journals/phoc/45/8/jpo-d-14-0184.1.xml</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accumulation at a water intake: a case study on the Mille-Iles River, Québec, accessed on May 30, 2026, </w:t>
      </w:r>
      <w:hyperlink r:id="rId69">
        <w:r w:rsidDel="00000000" w:rsidR="00000000" w:rsidRPr="00000000">
          <w:rPr>
            <w:rFonts w:ascii="Google Sans" w:cs="Google Sans" w:eastAsia="Google Sans" w:hAnsi="Google Sans"/>
            <w:color w:val="0000ee"/>
            <w:sz w:val="24"/>
            <w:szCs w:val="24"/>
            <w:u w:val="single"/>
            <w:rtl w:val="0"/>
          </w:rPr>
          <w:t xml:space="preserve">https://cdnsciencepub.com/doi/10.1139/cjce-2023-0076</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Frazil ice growth and production during katabatic wind events in the Ross Sea, Antarctica, accessed on May 30, 2026, </w:t>
      </w:r>
      <w:hyperlink r:id="rId70">
        <w:r w:rsidDel="00000000" w:rsidR="00000000" w:rsidRPr="00000000">
          <w:rPr>
            <w:rFonts w:ascii="Google Sans" w:cs="Google Sans" w:eastAsia="Google Sans" w:hAnsi="Google Sans"/>
            <w:color w:val="0000ee"/>
            <w:sz w:val="24"/>
            <w:szCs w:val="24"/>
            <w:u w:val="single"/>
            <w:rtl w:val="0"/>
          </w:rPr>
          <w:t xml:space="preserve">https://tc.copernicus.org/articles/14/3329/2020/tc-14-3329-2020.html</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Blockage of Water Intakes." - Nuclear Regulatory Commission, accessed on May 30, 2026, </w:t>
      </w:r>
      <w:hyperlink r:id="rId71">
        <w:r w:rsidDel="00000000" w:rsidR="00000000" w:rsidRPr="00000000">
          <w:rPr>
            <w:rFonts w:ascii="Google Sans" w:cs="Google Sans" w:eastAsia="Google Sans" w:hAnsi="Google Sans"/>
            <w:color w:val="0000ee"/>
            <w:sz w:val="24"/>
            <w:szCs w:val="24"/>
            <w:u w:val="single"/>
            <w:rtl w:val="0"/>
          </w:rPr>
          <w:t xml:space="preserve">https://www.nrc.gov/docs/ML1927/ML19274D210.pdf</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of Frazil Ice at Water Intakes at Träbena Power Station - Diva-Portal.org, accessed on May 30, 2026, </w:t>
      </w:r>
      <w:hyperlink r:id="rId72">
        <w:r w:rsidDel="00000000" w:rsidR="00000000" w:rsidRPr="00000000">
          <w:rPr>
            <w:rFonts w:ascii="Google Sans" w:cs="Google Sans" w:eastAsia="Google Sans" w:hAnsi="Google Sans"/>
            <w:color w:val="0000ee"/>
            <w:sz w:val="24"/>
            <w:szCs w:val="24"/>
            <w:u w:val="single"/>
            <w:rtl w:val="0"/>
          </w:rPr>
          <w:t xml:space="preserve">https://www.diva-portal.org/smash/get/diva2:720416/FULLTEXT01.pdf</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How Ice Mapping Can Help Manage and Prevent Ice Jams: Remote Sensing Monitoring of the Saint-François River, Québec, accessed on May 30, 2026, </w:t>
      </w:r>
      <w:hyperlink r:id="rId73">
        <w:r w:rsidDel="00000000" w:rsidR="00000000" w:rsidRPr="00000000">
          <w:rPr>
            <w:rFonts w:ascii="Google Sans" w:cs="Google Sans" w:eastAsia="Google Sans" w:hAnsi="Google Sans"/>
            <w:color w:val="0000ee"/>
            <w:sz w:val="24"/>
            <w:szCs w:val="24"/>
            <w:u w:val="single"/>
            <w:rtl w:val="0"/>
          </w:rPr>
          <w:t xml:space="preserve">https://www.tandfonline.com/doi/full/10.1080/07038992.2024.2391972</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Hydrological and Hydraulic Modeling for River Freezing Simulation: Impacts of a Changing Climate on the Freeze-Up of the Exploits River in Newfoundland | Request PDF - ResearchGate, accessed on May 30, 2026,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https://www.researchgate.net/publication/384869060_Integrated_Hydrological_and_Hydraulic_Modeling_for_River_Freezing_Simulation_Impacts_of_a_Changing_Climate_on_the_Freeze-Up_of_the_Exploits_River_in_Newfoundland</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for the Development and Operation of a Freeze-Up Ice-Jam Flood Forecasting System - MDPI, accessed on May 30, 2026, </w:t>
      </w:r>
      <w:hyperlink r:id="rId75">
        <w:r w:rsidDel="00000000" w:rsidR="00000000" w:rsidRPr="00000000">
          <w:rPr>
            <w:rFonts w:ascii="Google Sans" w:cs="Google Sans" w:eastAsia="Google Sans" w:hAnsi="Google Sans"/>
            <w:color w:val="0000ee"/>
            <w:sz w:val="24"/>
            <w:szCs w:val="24"/>
            <w:u w:val="single"/>
            <w:rtl w:val="0"/>
          </w:rPr>
          <w:t xml:space="preserve">https://www.mdpi.com/2073-4441/16/18/2648</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Ice Phenomena in a River Using the Artificial Neural Network and Extreme Gradient Boosting - MDPI, accessed on May 30, 2026, </w:t>
      </w:r>
      <w:hyperlink r:id="rId76">
        <w:r w:rsidDel="00000000" w:rsidR="00000000" w:rsidRPr="00000000">
          <w:rPr>
            <w:rFonts w:ascii="Google Sans" w:cs="Google Sans" w:eastAsia="Google Sans" w:hAnsi="Google Sans"/>
            <w:color w:val="0000ee"/>
            <w:sz w:val="24"/>
            <w:szCs w:val="24"/>
            <w:u w:val="single"/>
            <w:rtl w:val="0"/>
          </w:rPr>
          <w:t xml:space="preserve">https://www.mdpi.com/2079-9276/11/2/12</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Implementation of Machine Learning Models and Algorithms for Flood, Drought and Frazil Prediction - Spectrum: Concordia University Research Repository, accessed on May 30, 2026, </w:t>
      </w:r>
      <w:hyperlink r:id="rId77">
        <w:r w:rsidDel="00000000" w:rsidR="00000000" w:rsidRPr="00000000">
          <w:rPr>
            <w:rFonts w:ascii="Google Sans" w:cs="Google Sans" w:eastAsia="Google Sans" w:hAnsi="Google Sans"/>
            <w:color w:val="0000ee"/>
            <w:sz w:val="24"/>
            <w:szCs w:val="24"/>
            <w:u w:val="single"/>
            <w:rtl w:val="0"/>
          </w:rPr>
          <w:t xml:space="preserve">https://spectrum.library.concordia.ca/id/eprint/992751/</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‪Vincent McFarlane‬ - ‪Google Scholar‬, accessed on May 30, 2026, </w:t>
      </w:r>
      <w:hyperlink r:id="rId78">
        <w:r w:rsidDel="00000000" w:rsidR="00000000" w:rsidRPr="00000000">
          <w:rPr>
            <w:rFonts w:ascii="Google Sans" w:cs="Google Sans" w:eastAsia="Google Sans" w:hAnsi="Google Sans"/>
            <w:color w:val="0000ee"/>
            <w:sz w:val="24"/>
            <w:szCs w:val="24"/>
            <w:u w:val="single"/>
            <w:rtl w:val="0"/>
          </w:rPr>
          <w:t xml:space="preserve">https://scholar.google.co.th/citations?user=7-CMHycAAAAJ&amp;hl=th</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Measurements of frazil ice flocs in rivers - TC, accessed on May 30, 2026, </w:t>
      </w:r>
      <w:hyperlink r:id="rId79">
        <w:r w:rsidDel="00000000" w:rsidR="00000000" w:rsidRPr="00000000">
          <w:rPr>
            <w:rFonts w:ascii="Google Sans" w:cs="Google Sans" w:eastAsia="Google Sans" w:hAnsi="Google Sans"/>
            <w:color w:val="0000ee"/>
            <w:sz w:val="24"/>
            <w:szCs w:val="24"/>
            <w:u w:val="single"/>
            <w:rtl w:val="0"/>
          </w:rPr>
          <w:t xml:space="preserve">https://tc.copernicus.org/articles/18/4177/2024/tc-18-4177-2024.pdf</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 GeoMet - GeoMet-OGC-API - Home, accessed on May 30, 2026, </w:t>
      </w:r>
      <w:hyperlink r:id="rId80">
        <w:r w:rsidDel="00000000" w:rsidR="00000000" w:rsidRPr="00000000">
          <w:rPr>
            <w:rFonts w:ascii="Google Sans" w:cs="Google Sans" w:eastAsia="Google Sans" w:hAnsi="Google Sans"/>
            <w:color w:val="0000ee"/>
            <w:sz w:val="24"/>
            <w:szCs w:val="24"/>
            <w:u w:val="single"/>
            <w:rtl w:val="0"/>
          </w:rPr>
          <w:t xml:space="preserve">https://api.weather.gc.ca/</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OGC API technical doc /Doc technique de l'OGC API - MSC Open ..., accessed on May 30, 2026, </w:t>
      </w:r>
      <w:hyperlink r:id="rId81">
        <w:r w:rsidDel="00000000" w:rsidR="00000000" w:rsidRPr="00000000">
          <w:rPr>
            <w:rFonts w:ascii="Google Sans" w:cs="Google Sans" w:eastAsia="Google Sans" w:hAnsi="Google Sans"/>
            <w:color w:val="0000ee"/>
            <w:sz w:val="24"/>
            <w:szCs w:val="24"/>
            <w:u w:val="single"/>
            <w:rtl w:val="0"/>
          </w:rPr>
          <w:t xml:space="preserve">https://eccc-msc.github.io/open-data/msc-geomet/ogc_api_en/</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Wateroffice/docs/msc-geomet-wfs3-api-howto-en.md at master - GitHub, accessed on May 30, 2026, </w:t>
      </w:r>
      <w:hyperlink r:id="rId82">
        <w:r w:rsidDel="00000000" w:rsidR="00000000" w:rsidRPr="00000000">
          <w:rPr>
            <w:rFonts w:ascii="Google Sans" w:cs="Google Sans" w:eastAsia="Google Sans" w:hAnsi="Google Sans"/>
            <w:color w:val="0000ee"/>
            <w:sz w:val="24"/>
            <w:szCs w:val="24"/>
            <w:u w:val="single"/>
            <w:rtl w:val="0"/>
          </w:rPr>
          <w:t xml:space="preserve">https://github.com/ECCC-MSC/Wateroffice/blob/master/docs/msc-geomet-wfs3-api-howto-en.md</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GeoMet-OGC-API - Collections, accessed on May 30, 2026, </w:t>
      </w:r>
      <w:hyperlink r:id="rId83">
        <w:r w:rsidDel="00000000" w:rsidR="00000000" w:rsidRPr="00000000">
          <w:rPr>
            <w:rFonts w:ascii="Google Sans" w:cs="Google Sans" w:eastAsia="Google Sans" w:hAnsi="Google Sans"/>
            <w:color w:val="0000ee"/>
            <w:sz w:val="24"/>
            <w:szCs w:val="24"/>
            <w:u w:val="single"/>
            <w:rtl w:val="0"/>
          </w:rPr>
          <w:t xml:space="preserve">https://api.weather.gc.ca/collections?lang=en</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Regional Deterministic Prediction System (RDPS) statistically post-processed by PROGNOS-MLR, accessed on May 30, 2026, </w:t>
      </w:r>
      <w:hyperlink r:id="rId84">
        <w:r w:rsidDel="00000000" w:rsidR="00000000" w:rsidRPr="00000000">
          <w:rPr>
            <w:rFonts w:ascii="Google Sans" w:cs="Google Sans" w:eastAsia="Google Sans" w:hAnsi="Google Sans"/>
            <w:color w:val="0000ee"/>
            <w:sz w:val="24"/>
            <w:szCs w:val="24"/>
            <w:u w:val="single"/>
            <w:rtl w:val="0"/>
          </w:rPr>
          <w:t xml:space="preserve">https://api.weather.gc.ca/collections/prognos-rdps-realtime?lang=en</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Climate Normals 1981-2010 Station Data, accessed on May 30, 2026, </w:t>
      </w:r>
      <w:hyperlink r:id="rId85">
        <w:r w:rsidDel="00000000" w:rsidR="00000000" w:rsidRPr="00000000">
          <w:rPr>
            <w:rFonts w:ascii="Google Sans" w:cs="Google Sans" w:eastAsia="Google Sans" w:hAnsi="Google Sans"/>
            <w:color w:val="0000ee"/>
            <w:sz w:val="24"/>
            <w:szCs w:val="24"/>
            <w:u w:val="single"/>
            <w:rtl w:val="0"/>
          </w:rPr>
          <w:t xml:space="preserve">https://climat.meteo.gc.ca/climate_normals/results_1981_2010_e.html?searchType=stnProv&amp;lstProvince=&amp;txtCentralLatMin=0&amp;txtCentralLatSec=0&amp;txtCentralLongMin=0&amp;txtCentralLongSec=0&amp;climate_id=8400413&amp;dispBack=0</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Climate Normals 1971-2000 Station Data, accessed on May 30, 2026, </w:t>
      </w:r>
      <w:hyperlink r:id="rId86">
        <w:r w:rsidDel="00000000" w:rsidR="00000000" w:rsidRPr="00000000">
          <w:rPr>
            <w:rFonts w:ascii="Google Sans" w:cs="Google Sans" w:eastAsia="Google Sans" w:hAnsi="Google Sans"/>
            <w:color w:val="0000ee"/>
            <w:sz w:val="24"/>
            <w:szCs w:val="24"/>
            <w:u w:val="single"/>
            <w:rtl w:val="0"/>
          </w:rPr>
          <w:t xml:space="preserve">https://climate.weather.gc.ca/climate_normals/results_e.html?searchType=stnProv&amp;lstProvince=&amp;txtCentralLatMin=0&amp;txtCentralLatSec=0&amp;txtCentralLongMin=0&amp;txtCentralLongSec=0&amp;climate_id=8400413&amp;dispBack=0</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May 30, 2026, </w:t>
      </w:r>
      <w:hyperlink r:id="rId87">
        <w:r w:rsidDel="00000000" w:rsidR="00000000" w:rsidRPr="00000000">
          <w:rPr>
            <w:rFonts w:ascii="Google Sans" w:cs="Google Sans" w:eastAsia="Google Sans" w:hAnsi="Google Sans"/>
            <w:color w:val="0000ee"/>
            <w:sz w:val="24"/>
            <w:szCs w:val="24"/>
            <w:u w:val="single"/>
            <w:rtl w:val="0"/>
          </w:rPr>
          <w:t xml:space="preserve">https://api.weather.gc.ca/collections/ltce-stations/items?f=csv&amp;limit=30000&amp;ELEMENT_NAME_E=SNOWFALL</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Judging Rubric.pdf</w:t>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watsonx Orchestrate Agent Development Kit (ADK) - GitHub, accessed on May 30, 2026, </w:t>
      </w:r>
      <w:hyperlink r:id="rId88">
        <w:r w:rsidDel="00000000" w:rsidR="00000000" w:rsidRPr="00000000">
          <w:rPr>
            <w:rFonts w:ascii="Google Sans" w:cs="Google Sans" w:eastAsia="Google Sans" w:hAnsi="Google Sans"/>
            <w:color w:val="0000ee"/>
            <w:sz w:val="24"/>
            <w:szCs w:val="24"/>
            <w:u w:val="single"/>
            <w:rtl w:val="0"/>
          </w:rPr>
          <w:t xml:space="preserve">https://github.com/IBM/ibm-watsonx-orchestrate-adk</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AI agents with IBM watsonx Orchestrate ADK and Kiro on AWS, accessed on May 30, 2026, </w:t>
      </w:r>
      <w:hyperlink r:id="rId89">
        <w:r w:rsidDel="00000000" w:rsidR="00000000" w:rsidRPr="00000000">
          <w:rPr>
            <w:rFonts w:ascii="Google Sans" w:cs="Google Sans" w:eastAsia="Google Sans" w:hAnsi="Google Sans"/>
            <w:color w:val="0000ee"/>
            <w:sz w:val="24"/>
            <w:szCs w:val="24"/>
            <w:u w:val="single"/>
            <w:rtl w:val="0"/>
          </w:rPr>
          <w:t xml:space="preserve">https://aws.amazon.com/blogs/ibm-redhat/build-ai-agents-with-ibm-watsonx-orchestrate-adk-and-kiro-on-aws/</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agents using the ADK - IBM, accessed on May 30, 2026, </w:t>
      </w:r>
      <w:hyperlink r:id="rId90">
        <w:r w:rsidDel="00000000" w:rsidR="00000000" w:rsidRPr="00000000">
          <w:rPr>
            <w:rFonts w:ascii="Google Sans" w:cs="Google Sans" w:eastAsia="Google Sans" w:hAnsi="Google Sans"/>
            <w:color w:val="0000ee"/>
            <w:sz w:val="24"/>
            <w:szCs w:val="24"/>
            <w:u w:val="single"/>
            <w:rtl w:val="0"/>
          </w:rPr>
          <w:t xml:space="preserve">https://www.ibm.com/docs/en/watsonx/watson-orchestrate/base?topic=agents-building-using-adk</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and Run Agents Locally with the Watsonx Orchestrate Agent Development Kit (ADK) | by Shrishs | Medium, accessed on May 30, 2026, </w:t>
      </w:r>
      <w:hyperlink r:id="rId91">
        <w:r w:rsidDel="00000000" w:rsidR="00000000" w:rsidRPr="00000000">
          <w:rPr>
            <w:rFonts w:ascii="Google Sans" w:cs="Google Sans" w:eastAsia="Google Sans" w:hAnsi="Google Sans"/>
            <w:color w:val="0000ee"/>
            <w:sz w:val="24"/>
            <w:szCs w:val="24"/>
            <w:u w:val="single"/>
            <w:rtl w:val="0"/>
          </w:rPr>
          <w:t xml:space="preserve">https://medium.com/@shrishs/build-and-run-agents-locally-with-the-watsonx-orchestrate-agent-development-kit-adk-868caa959d65</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watsonx Orchestrate Agent Development Kit - IBM Developer, accessed on May 30, 2026, </w:t>
      </w:r>
      <w:hyperlink r:id="rId92">
        <w:r w:rsidDel="00000000" w:rsidR="00000000" w:rsidRPr="00000000">
          <w:rPr>
            <w:rFonts w:ascii="Google Sans" w:cs="Google Sans" w:eastAsia="Google Sans" w:hAnsi="Google Sans"/>
            <w:color w:val="0000ee"/>
            <w:sz w:val="24"/>
            <w:szCs w:val="24"/>
            <w:u w:val="single"/>
            <w:rtl w:val="0"/>
          </w:rPr>
          <w:t xml:space="preserve">https://developer.ibm.com/tutorials/getting-started-with-watsonx-orchestrate/</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the ADK - IBM watsonx Orchestrate ADK, accessed on May 30, 2026, </w:t>
      </w:r>
      <w:hyperlink r:id="rId93">
        <w:r w:rsidDel="00000000" w:rsidR="00000000" w:rsidRPr="00000000">
          <w:rPr>
            <w:rFonts w:ascii="Google Sans" w:cs="Google Sans" w:eastAsia="Google Sans" w:hAnsi="Google Sans"/>
            <w:color w:val="0000ee"/>
            <w:sz w:val="24"/>
            <w:szCs w:val="24"/>
            <w:u w:val="single"/>
            <w:rtl w:val="0"/>
          </w:rPr>
          <w:t xml:space="preserve">https://developer.watson-orchestrate.ibm.com/getting_started/installing</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Authoring native agents - IBM watsonx Orchestrate ADK, accessed on May 30, 2026, </w:t>
      </w:r>
      <w:hyperlink r:id="rId94">
        <w:r w:rsidDel="00000000" w:rsidR="00000000" w:rsidRPr="00000000">
          <w:rPr>
            <w:rFonts w:ascii="Google Sans" w:cs="Google Sans" w:eastAsia="Google Sans" w:hAnsi="Google Sans"/>
            <w:color w:val="0000ee"/>
            <w:sz w:val="24"/>
            <w:szCs w:val="24"/>
            <w:u w:val="single"/>
            <w:rtl w:val="0"/>
          </w:rPr>
          <w:t xml:space="preserve">https://developer.watson-orchestrate.ibm.com/agents/build_agent</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to external agents - IBM watsonx Orchestrate ADK, accessed on May 30, 2026, </w:t>
      </w:r>
      <w:hyperlink r:id="rId95">
        <w:r w:rsidDel="00000000" w:rsidR="00000000" w:rsidRPr="00000000">
          <w:rPr>
            <w:rFonts w:ascii="Google Sans" w:cs="Google Sans" w:eastAsia="Google Sans" w:hAnsi="Google Sans"/>
            <w:color w:val="0000ee"/>
            <w:sz w:val="24"/>
            <w:szCs w:val="24"/>
            <w:u w:val="single"/>
            <w:rtl w:val="0"/>
          </w:rPr>
          <w:t xml:space="preserve">https://developer.watson-orchestrate.ibm.com/agents/connect_agent</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knowledge bases - IBM watsonx Orchestrate ADK, accessed on May 30, 2026, </w:t>
      </w:r>
      <w:hyperlink r:id="rId96">
        <w:r w:rsidDel="00000000" w:rsidR="00000000" w:rsidRPr="00000000">
          <w:rPr>
            <w:rFonts w:ascii="Google Sans" w:cs="Google Sans" w:eastAsia="Google Sans" w:hAnsi="Google Sans"/>
            <w:color w:val="0000ee"/>
            <w:sz w:val="24"/>
            <w:szCs w:val="24"/>
            <w:u w:val="single"/>
            <w:rtl w:val="0"/>
          </w:rPr>
          <w:t xml:space="preserve">https://developer.watson-orchestrate.ibm.com/knowledge_base/build_kb</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Orchestrating external agents using A2A standard on watsonx Orchestrate - IBM Developer, accessed on May 30, 2026, </w:t>
      </w:r>
      <w:hyperlink r:id="rId97">
        <w:r w:rsidDel="00000000" w:rsidR="00000000" w:rsidRPr="00000000">
          <w:rPr>
            <w:rFonts w:ascii="Google Sans" w:cs="Google Sans" w:eastAsia="Google Sans" w:hAnsi="Google Sans"/>
            <w:color w:val="0000ee"/>
            <w:sz w:val="24"/>
            <w:szCs w:val="24"/>
            <w:u w:val="single"/>
            <w:rtl w:val="0"/>
          </w:rPr>
          <w:t xml:space="preserve">https://developer.ibm.com/tutorials/orchestrate-agents-a2a-standard/</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Importing LangGraph Agents in watsonx Orchestrate - Niklas Heidloff, accessed on May 30, 2026, </w:t>
      </w:r>
      <w:hyperlink r:id="rId98">
        <w:r w:rsidDel="00000000" w:rsidR="00000000" w:rsidRPr="00000000">
          <w:rPr>
            <w:rFonts w:ascii="Google Sans" w:cs="Google Sans" w:eastAsia="Google Sans" w:hAnsi="Google Sans"/>
            <w:color w:val="0000ee"/>
            <w:sz w:val="24"/>
            <w:szCs w:val="24"/>
            <w:u w:val="single"/>
            <w:rtl w:val="0"/>
          </w:rPr>
          <w:t xml:space="preserve">https://heidloff.net/article/langgraph-watsonx-orchestrate/</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in watsonx Orchestrate via MCP, Python and OpenAPI | Niklas Heidloff, accessed on May 30, 2026, </w:t>
      </w:r>
      <w:hyperlink r:id="rId99">
        <w:r w:rsidDel="00000000" w:rsidR="00000000" w:rsidRPr="00000000">
          <w:rPr>
            <w:rFonts w:ascii="Google Sans" w:cs="Google Sans" w:eastAsia="Google Sans" w:hAnsi="Google Sans"/>
            <w:color w:val="0000ee"/>
            <w:sz w:val="24"/>
            <w:szCs w:val="24"/>
            <w:u w:val="single"/>
            <w:rtl w:val="0"/>
          </w:rPr>
          <w:t xml:space="preserve">https://heidloff.net/article/watsonx-orchestrate-tools/</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MCP Tools on watsonx Orchestrate by using ContextForge MCP Gateway, accessed on May 30, 2026, </w:t>
      </w:r>
      <w:hyperlink r:id="rId100">
        <w:r w:rsidDel="00000000" w:rsidR="00000000" w:rsidRPr="00000000">
          <w:rPr>
            <w:rFonts w:ascii="Google Sans" w:cs="Google Sans" w:eastAsia="Google Sans" w:hAnsi="Google Sans"/>
            <w:color w:val="0000ee"/>
            <w:sz w:val="24"/>
            <w:szCs w:val="24"/>
            <w:u w:val="single"/>
            <w:rtl w:val="0"/>
          </w:rPr>
          <w:t xml:space="preserve">https://developer.ibm.com/tutorials/build-mcp-tools-mcp-gateway-watsonx-orchestrate-agents/</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to MCP tools with watsonx Orchestrate - IBM Developer, accessed on May 30, 2026, </w:t>
      </w:r>
      <w:hyperlink r:id="rId101">
        <w:r w:rsidDel="00000000" w:rsidR="00000000" w:rsidRPr="00000000">
          <w:rPr>
            <w:rFonts w:ascii="Google Sans" w:cs="Google Sans" w:eastAsia="Google Sans" w:hAnsi="Google Sans"/>
            <w:color w:val="0000ee"/>
            <w:sz w:val="24"/>
            <w:szCs w:val="24"/>
            <w:u w:val="single"/>
            <w:rtl w:val="0"/>
          </w:rPr>
          <w:t xml:space="preserve">https://developer.ibm.com/tutorials/connect-mcp-tools-watsonx-orchestrate-adk/</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Authoring Python-Based Tools - IBM watsonx Orchestrate ADK, accessed on May 30, 2026, </w:t>
      </w:r>
      <w:hyperlink r:id="rId102">
        <w:r w:rsidDel="00000000" w:rsidR="00000000" w:rsidRPr="00000000">
          <w:rPr>
            <w:rFonts w:ascii="Google Sans" w:cs="Google Sans" w:eastAsia="Google Sans" w:hAnsi="Google Sans"/>
            <w:color w:val="0000ee"/>
            <w:sz w:val="24"/>
            <w:szCs w:val="24"/>
            <w:u w:val="single"/>
            <w:rtl w:val="0"/>
          </w:rPr>
          <w:t xml:space="preserve">https://developer.watson-orchestrate.ibm.com/tools/create_tool</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watsonx Orchestrate Tool Builder | Niklas Heidloff, accessed on May 30, 2026, </w:t>
      </w:r>
      <w:hyperlink r:id="rId103">
        <w:r w:rsidDel="00000000" w:rsidR="00000000" w:rsidRPr="00000000">
          <w:rPr>
            <w:rFonts w:ascii="Google Sans" w:cs="Google Sans" w:eastAsia="Google Sans" w:hAnsi="Google Sans"/>
            <w:color w:val="0000ee"/>
            <w:sz w:val="24"/>
            <w:szCs w:val="24"/>
            <w:u w:val="single"/>
            <w:rtl w:val="0"/>
          </w:rPr>
          <w:t xml:space="preserve">https://heidloff.net/article/orchestrate-tool-builder/</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connections - IBM watsonx Orchestrate ADK, accessed on May 30, 2026, </w:t>
      </w:r>
      <w:hyperlink r:id="rId104">
        <w:r w:rsidDel="00000000" w:rsidR="00000000" w:rsidRPr="00000000">
          <w:rPr>
            <w:rFonts w:ascii="Google Sans" w:cs="Google Sans" w:eastAsia="Google Sans" w:hAnsi="Google Sans"/>
            <w:color w:val="0000ee"/>
            <w:sz w:val="24"/>
            <w:szCs w:val="24"/>
            <w:u w:val="single"/>
            <w:rtl w:val="0"/>
          </w:rPr>
          <w:t xml:space="preserve">https://developer.watson-orchestrate.ibm.com/connections/build_connections</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Granite 3.0: open, state-of-the-art enterprise models, accessed on May 30, 2026, </w:t>
      </w:r>
      <w:hyperlink r:id="rId105">
        <w:r w:rsidDel="00000000" w:rsidR="00000000" w:rsidRPr="00000000">
          <w:rPr>
            <w:rFonts w:ascii="Google Sans" w:cs="Google Sans" w:eastAsia="Google Sans" w:hAnsi="Google Sans"/>
            <w:color w:val="0000ee"/>
            <w:sz w:val="24"/>
            <w:szCs w:val="24"/>
            <w:u w:val="single"/>
            <w:rtl w:val="0"/>
          </w:rPr>
          <w:t xml:space="preserve">https://www.ibm.com/new/announcements/ibm-granite-3-0-open-state-of-the-art-enterprise-models</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IBM's New Granite 3.0 Generative AI Models Are Small, Yet Highly Accurate and Efficient, accessed on May 30, 2026, </w:t>
      </w:r>
      <w:hyperlink r:id="rId106">
        <w:r w:rsidDel="00000000" w:rsidR="00000000" w:rsidRPr="00000000">
          <w:rPr>
            <w:rFonts w:ascii="Google Sans" w:cs="Google Sans" w:eastAsia="Google Sans" w:hAnsi="Google Sans"/>
            <w:color w:val="0000ee"/>
            <w:sz w:val="24"/>
            <w:szCs w:val="24"/>
            <w:u w:val="single"/>
            <w:rtl w:val="0"/>
          </w:rPr>
          <w:t xml:space="preserve">https://developer.nvidia.com/blog/ibms-new-granite-3-0-generative-ai-models-are-small-yet-highly-accurate-and-efficient/</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ibm-granite/granite-3.0-8b-instruct - Hugging Face, accessed on May 30, 2026, </w:t>
      </w:r>
      <w:hyperlink r:id="rId107">
        <w:r w:rsidDel="00000000" w:rsidR="00000000" w:rsidRPr="00000000">
          <w:rPr>
            <w:rFonts w:ascii="Google Sans" w:cs="Google Sans" w:eastAsia="Google Sans" w:hAnsi="Google Sans"/>
            <w:color w:val="0000ee"/>
            <w:sz w:val="24"/>
            <w:szCs w:val="24"/>
            <w:u w:val="single"/>
            <w:rtl w:val="0"/>
          </w:rPr>
          <w:t xml:space="preserve">https://huggingface.co/ibm-granite/granite-3.0-8b-instruct</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ibmdotcom-tutorials/tutorials/06-tool-calling-and-function-calling/function-calling.ipynb at main - GitHub, accessed on May 30, 2026, </w:t>
      </w:r>
      <w:hyperlink r:id="rId108">
        <w:r w:rsidDel="00000000" w:rsidR="00000000" w:rsidRPr="00000000">
          <w:rPr>
            <w:rFonts w:ascii="Google Sans" w:cs="Google Sans" w:eastAsia="Google Sans" w:hAnsi="Google Sans"/>
            <w:color w:val="0000ee"/>
            <w:sz w:val="24"/>
            <w:szCs w:val="24"/>
            <w:u w:val="single"/>
            <w:rtl w:val="0"/>
          </w:rPr>
          <w:t xml:space="preserve">https://github.com/IBM/ibmdotcom-tutorials/blob/main/tutorials/06-tool-calling-and-function-calling/function-calling.ipynb</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granite_tool_parser - vLLM Documentation, accessed on May 30, 2026, </w:t>
      </w:r>
      <w:hyperlink r:id="rId109">
        <w:r w:rsidDel="00000000" w:rsidR="00000000" w:rsidRPr="00000000">
          <w:rPr>
            <w:rFonts w:ascii="Google Sans" w:cs="Google Sans" w:eastAsia="Google Sans" w:hAnsi="Google Sans"/>
            <w:color w:val="0000ee"/>
            <w:sz w:val="24"/>
            <w:szCs w:val="24"/>
            <w:u w:val="single"/>
            <w:rtl w:val="0"/>
          </w:rPr>
          <w:t xml:space="preserve">https://docs.vllm.ai/en/latest/api/vllm/tool_parsers/granite_tool_parser/</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Calling - vLLM Documentation, accessed on May 30, 2026, </w:t>
      </w:r>
      <w:hyperlink r:id="rId110">
        <w:r w:rsidDel="00000000" w:rsidR="00000000" w:rsidRPr="00000000">
          <w:rPr>
            <w:rFonts w:ascii="Google Sans" w:cs="Google Sans" w:eastAsia="Google Sans" w:hAnsi="Google Sans"/>
            <w:color w:val="0000ee"/>
            <w:sz w:val="24"/>
            <w:szCs w:val="24"/>
            <w:u w:val="single"/>
            <w:rtl w:val="0"/>
          </w:rPr>
          <w:t xml:space="preserve">https://docs.vllm.ai/en/latest/features/tool_calling/</w:t>
        </w:r>
      </w:hyperlink>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llama.cpp/tests/test-chat-template.cpp at master · ggml-org/llama.cpp · GitHub, accessed on May 30, 2026, </w:t>
      </w:r>
      <w:hyperlink r:id="rId111">
        <w:r w:rsidDel="00000000" w:rsidR="00000000" w:rsidRPr="00000000">
          <w:rPr>
            <w:rFonts w:ascii="Google Sans" w:cs="Google Sans" w:eastAsia="Google Sans" w:hAnsi="Google Sans"/>
            <w:color w:val="0000ee"/>
            <w:sz w:val="24"/>
            <w:szCs w:val="24"/>
            <w:u w:val="single"/>
            <w:rtl w:val="0"/>
          </w:rPr>
          <w:t xml:space="preserve">https://github.com/ggerganov/llama.cpp/blob/master/tests/test-chat-template.cpp</w:t>
        </w:r>
      </w:hyperlink>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ibm-granite/granite-3.0-8b-instruct · Granite Model Does Not Generate `&lt;|tool_call|&gt;` Format in Response - Hugging Face, accessed on May 30, 2026, </w:t>
      </w:r>
      <w:hyperlink r:id="rId112">
        <w:r w:rsidDel="00000000" w:rsidR="00000000" w:rsidRPr="00000000">
          <w:rPr>
            <w:rFonts w:ascii="Google Sans" w:cs="Google Sans" w:eastAsia="Google Sans" w:hAnsi="Google Sans"/>
            <w:color w:val="0000ee"/>
            <w:sz w:val="24"/>
            <w:szCs w:val="24"/>
            <w:u w:val="single"/>
            <w:rtl w:val="0"/>
          </w:rPr>
          <w:t xml:space="preserve">https://huggingface.co/ibm-granite/granite-3.0-8b-instruct/discussions/8</w:t>
        </w:r>
      </w:hyperlink>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 Calling with Granite Tutorial - IBM, accessed on May 30, 2026, </w:t>
      </w:r>
      <w:hyperlink r:id="rId113">
        <w:r w:rsidDel="00000000" w:rsidR="00000000" w:rsidRPr="00000000">
          <w:rPr>
            <w:rFonts w:ascii="Google Sans" w:cs="Google Sans" w:eastAsia="Google Sans" w:hAnsi="Google Sans"/>
            <w:color w:val="0000ee"/>
            <w:sz w:val="24"/>
            <w:szCs w:val="24"/>
            <w:u w:val="single"/>
            <w:rtl w:val="0"/>
          </w:rPr>
          <w:t xml:space="preserve">https://www.ibm.com/think/tutorials/granite-function-calling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pub.nf.ca/PU/orders/2026/P.U.%2012(2026)%20-%20Reasons%20for%20Decision%20-%202026-05-07.PDF" TargetMode="External"/><Relationship Id="rId42" Type="http://schemas.openxmlformats.org/officeDocument/2006/relationships/hyperlink" Target="https://nlhydro.com/wp-content/uploads/2025/08/EA-2369-Bay-dEspoir-hydroelectric-Generating-Unit-8-registration.pdf.pdf" TargetMode="External"/><Relationship Id="rId41" Type="http://schemas.openxmlformats.org/officeDocument/2006/relationships/hyperlink" Target="https://nlhydro.com/good-to-know/expanding-and-upgrading-our-bay-despoir-facility/" TargetMode="External"/><Relationship Id="rId44" Type="http://schemas.openxmlformats.org/officeDocument/2006/relationships/hyperlink" Target="https://www.gem.wiki/Holyrood_Thermal_Generating_Station" TargetMode="External"/><Relationship Id="rId43" Type="http://schemas.openxmlformats.org/officeDocument/2006/relationships/hyperlink" Target="http://www.pub.nl.ca/applications/NLH2025AvalonCombustionMarch/report/From%20NLH%20-%20Attachment%2021%20-%20Bay%20d%E2%80%99Espoir%20Hydro%20Generating%20Unit%208%20Summary%20Report%20-%20November%202022%20-%202025-06-13.PDF" TargetMode="External"/><Relationship Id="rId46" Type="http://schemas.openxmlformats.org/officeDocument/2006/relationships/hyperlink" Target="https://en.wikipedia.org/wiki/Holyrood_Thermal_Generating_Station" TargetMode="External"/><Relationship Id="rId45" Type="http://schemas.openxmlformats.org/officeDocument/2006/relationships/hyperlink" Target="https://www.atlanticaenergy.org/energy-knowledge-centre/energy-maps/newfoundland-and-labradors-energy-resources/" TargetMode="External"/><Relationship Id="rId107" Type="http://schemas.openxmlformats.org/officeDocument/2006/relationships/hyperlink" Target="https://huggingface.co/ibm-granite/granite-3.0-8b-instruct" TargetMode="External"/><Relationship Id="rId106" Type="http://schemas.openxmlformats.org/officeDocument/2006/relationships/hyperlink" Target="https://developer.nvidia.com/blog/ibms-new-granite-3-0-generative-ai-models-are-small-yet-highly-accurate-and-efficient/" TargetMode="External"/><Relationship Id="rId105" Type="http://schemas.openxmlformats.org/officeDocument/2006/relationships/hyperlink" Target="https://www.ibm.com/new/announcements/ibm-granite-3-0-open-state-of-the-art-enterprise-models" TargetMode="External"/><Relationship Id="rId104" Type="http://schemas.openxmlformats.org/officeDocument/2006/relationships/hyperlink" Target="https://developer.watson-orchestrate.ibm.com/connections/build_connections" TargetMode="External"/><Relationship Id="rId109" Type="http://schemas.openxmlformats.org/officeDocument/2006/relationships/hyperlink" Target="https://docs.vllm.ai/en/latest/api/vllm/tool_parsers/granite_tool_parser/" TargetMode="External"/><Relationship Id="rId108" Type="http://schemas.openxmlformats.org/officeDocument/2006/relationships/hyperlink" Target="https://github.com/IBM/ibmdotcom-tutorials/blob/main/tutorials/06-tool-calling-and-function-calling/function-calling.ipynb" TargetMode="External"/><Relationship Id="rId48" Type="http://schemas.openxmlformats.org/officeDocument/2006/relationships/hyperlink" Target="http://pub.nl.ca/applications/2018/NLH2018Capital/applications/From%20NLH%20-%202018%20Capital%20Budget%20Application%20-%20Volume%201%20-%202017-07-28.pdf" TargetMode="External"/><Relationship Id="rId47" Type="http://schemas.openxmlformats.org/officeDocument/2006/relationships/hyperlink" Target="http://www.pub.nl.ca/applications/ARCHIVE/NLH2012Capital/files/supplement/reports/HTGS-Requirement-July-11.pdf" TargetMode="External"/><Relationship Id="rId49" Type="http://schemas.openxmlformats.org/officeDocument/2006/relationships/hyperlink" Target="https://nlhydro.com/wp-content/uploads/2022/01/pb-947-2018.pdf" TargetMode="External"/><Relationship Id="rId103" Type="http://schemas.openxmlformats.org/officeDocument/2006/relationships/hyperlink" Target="https://heidloff.net/article/orchestrate-tool-builder/" TargetMode="External"/><Relationship Id="rId102" Type="http://schemas.openxmlformats.org/officeDocument/2006/relationships/hyperlink" Target="https://developer.watson-orchestrate.ibm.com/tools/create_tool" TargetMode="External"/><Relationship Id="rId101" Type="http://schemas.openxmlformats.org/officeDocument/2006/relationships/hyperlink" Target="https://developer.ibm.com/tutorials/connect-mcp-tools-watsonx-orchestrate-adk/" TargetMode="External"/><Relationship Id="rId100" Type="http://schemas.openxmlformats.org/officeDocument/2006/relationships/hyperlink" Target="https://developer.ibm.com/tutorials/build-mcp-tools-mcp-gateway-watsonx-orchestrate-agents/" TargetMode="External"/><Relationship Id="rId31" Type="http://schemas.openxmlformats.org/officeDocument/2006/relationships/image" Target="media/image22.png"/><Relationship Id="rId30" Type="http://schemas.openxmlformats.org/officeDocument/2006/relationships/image" Target="media/image19.png"/><Relationship Id="rId33" Type="http://schemas.openxmlformats.org/officeDocument/2006/relationships/hyperlink" Target="https://nlhydro.com/good-to-know/frazil-ice-and-our-power-system-the-trouble-with-frazil/" TargetMode="External"/><Relationship Id="rId32" Type="http://schemas.openxmlformats.org/officeDocument/2006/relationships/hyperlink" Target="https://nlhydro.com/good-to-know/frazil-ice-and-the-power-system-keeping-customers-informed-when-it-matters-most/" TargetMode="External"/><Relationship Id="rId35" Type="http://schemas.openxmlformats.org/officeDocument/2006/relationships/hyperlink" Target="https://www.muskratfallsinquiry.ca/files/P-00049.pdf" TargetMode="External"/><Relationship Id="rId34" Type="http://schemas.openxmlformats.org/officeDocument/2006/relationships/hyperlink" Target="https://nlhydro.com/about-us/our-electricity-system/our-generation-assets/" TargetMode="External"/><Relationship Id="rId37" Type="http://schemas.openxmlformats.org/officeDocument/2006/relationships/hyperlink" Target="http://www.pub.nl.ca/PU/orders/2023/P.U.%206(2023).PDF" TargetMode="External"/><Relationship Id="rId36" Type="http://schemas.openxmlformats.org/officeDocument/2006/relationships/hyperlink" Target="https://nlhydro.com/about-us/our-electricity-system/major-projects/bay-despoir-hydro-electric-facility-upgrades/" TargetMode="External"/><Relationship Id="rId39" Type="http://schemas.openxmlformats.org/officeDocument/2006/relationships/hyperlink" Target="http://www.pub.nl.ca/applications/NLH2026SectionReplacement/responses/PUB-NLH-006.PDF" TargetMode="External"/><Relationship Id="rId38" Type="http://schemas.openxmlformats.org/officeDocument/2006/relationships/hyperlink" Target="https://nlhydro.com/wp-content/uploads/2025/05/From-NLH-Approval-of-Section-Replacement-and-Weld-Refurbishment-of-Penstock-1-at-the-Bay-dEspoir-Hydroelectric-Generating-Facility-Updated-Information-REDACTED-2024-10-16.pdf" TargetMode="External"/><Relationship Id="rId20" Type="http://schemas.openxmlformats.org/officeDocument/2006/relationships/image" Target="media/image18.png"/><Relationship Id="rId22" Type="http://schemas.openxmlformats.org/officeDocument/2006/relationships/image" Target="media/image7.png"/><Relationship Id="rId21" Type="http://schemas.openxmlformats.org/officeDocument/2006/relationships/image" Target="media/image26.png"/><Relationship Id="rId24" Type="http://schemas.openxmlformats.org/officeDocument/2006/relationships/image" Target="media/image25.png"/><Relationship Id="rId23" Type="http://schemas.openxmlformats.org/officeDocument/2006/relationships/image" Target="media/image10.png"/><Relationship Id="rId26" Type="http://schemas.openxmlformats.org/officeDocument/2006/relationships/image" Target="media/image8.png"/><Relationship Id="rId25" Type="http://schemas.openxmlformats.org/officeDocument/2006/relationships/image" Target="media/image1.png"/><Relationship Id="rId28" Type="http://schemas.openxmlformats.org/officeDocument/2006/relationships/image" Target="media/image3.png"/><Relationship Id="rId27" Type="http://schemas.openxmlformats.org/officeDocument/2006/relationships/image" Target="media/image4.png"/><Relationship Id="rId29" Type="http://schemas.openxmlformats.org/officeDocument/2006/relationships/image" Target="media/image13.png"/><Relationship Id="rId95" Type="http://schemas.openxmlformats.org/officeDocument/2006/relationships/hyperlink" Target="https://developer.watson-orchestrate.ibm.com/agents/connect_agent" TargetMode="External"/><Relationship Id="rId94" Type="http://schemas.openxmlformats.org/officeDocument/2006/relationships/hyperlink" Target="https://developer.watson-orchestrate.ibm.com/agents/build_agent" TargetMode="External"/><Relationship Id="rId97" Type="http://schemas.openxmlformats.org/officeDocument/2006/relationships/hyperlink" Target="https://developer.ibm.com/tutorials/orchestrate-agents-a2a-standard/" TargetMode="External"/><Relationship Id="rId96" Type="http://schemas.openxmlformats.org/officeDocument/2006/relationships/hyperlink" Target="https://developer.watson-orchestrate.ibm.com/knowledge_base/build_kb" TargetMode="External"/><Relationship Id="rId11" Type="http://schemas.openxmlformats.org/officeDocument/2006/relationships/image" Target="media/image9.png"/><Relationship Id="rId99" Type="http://schemas.openxmlformats.org/officeDocument/2006/relationships/hyperlink" Target="https://heidloff.net/article/watsonx-orchestrate-tools/" TargetMode="External"/><Relationship Id="rId10" Type="http://schemas.openxmlformats.org/officeDocument/2006/relationships/image" Target="media/image23.png"/><Relationship Id="rId98" Type="http://schemas.openxmlformats.org/officeDocument/2006/relationships/hyperlink" Target="https://heidloff.net/article/langgraph-watsonx-orchestrate/" TargetMode="External"/><Relationship Id="rId13" Type="http://schemas.openxmlformats.org/officeDocument/2006/relationships/image" Target="media/image17.png"/><Relationship Id="rId12" Type="http://schemas.openxmlformats.org/officeDocument/2006/relationships/image" Target="media/image11.png"/><Relationship Id="rId91" Type="http://schemas.openxmlformats.org/officeDocument/2006/relationships/hyperlink" Target="https://medium.com/@shrishs/build-and-run-agents-locally-with-the-watsonx-orchestrate-agent-development-kit-adk-868caa959d65" TargetMode="External"/><Relationship Id="rId90" Type="http://schemas.openxmlformats.org/officeDocument/2006/relationships/hyperlink" Target="https://www.ibm.com/docs/en/watsonx/watson-orchestrate/base?topic=agents-building-using-adk" TargetMode="External"/><Relationship Id="rId93" Type="http://schemas.openxmlformats.org/officeDocument/2006/relationships/hyperlink" Target="https://developer.watson-orchestrate.ibm.com/getting_started/installing" TargetMode="External"/><Relationship Id="rId92" Type="http://schemas.openxmlformats.org/officeDocument/2006/relationships/hyperlink" Target="https://developer.ibm.com/tutorials/getting-started-with-watsonx-orchestrate/" TargetMode="External"/><Relationship Id="rId15" Type="http://schemas.openxmlformats.org/officeDocument/2006/relationships/image" Target="media/image15.png"/><Relationship Id="rId110" Type="http://schemas.openxmlformats.org/officeDocument/2006/relationships/hyperlink" Target="https://docs.vllm.ai/en/latest/features/tool_calling/" TargetMode="External"/><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12.png"/><Relationship Id="rId18" Type="http://schemas.openxmlformats.org/officeDocument/2006/relationships/image" Target="media/image16.png"/><Relationship Id="rId113" Type="http://schemas.openxmlformats.org/officeDocument/2006/relationships/hyperlink" Target="https://www.ibm.com/think/tutorials/granite-function-calling" TargetMode="External"/><Relationship Id="rId112" Type="http://schemas.openxmlformats.org/officeDocument/2006/relationships/hyperlink" Target="https://huggingface.co/ibm-granite/granite-3.0-8b-instruct/discussions/8" TargetMode="External"/><Relationship Id="rId111" Type="http://schemas.openxmlformats.org/officeDocument/2006/relationships/hyperlink" Target="https://github.com/ggerganov/llama.cpp/blob/master/tests/test-chat-template.cpp" TargetMode="External"/><Relationship Id="rId84" Type="http://schemas.openxmlformats.org/officeDocument/2006/relationships/hyperlink" Target="https://api.weather.gc.ca/collections/prognos-rdps-realtime?lang=en" TargetMode="External"/><Relationship Id="rId83" Type="http://schemas.openxmlformats.org/officeDocument/2006/relationships/hyperlink" Target="https://api.weather.gc.ca/collections?lang=en" TargetMode="External"/><Relationship Id="rId86" Type="http://schemas.openxmlformats.org/officeDocument/2006/relationships/hyperlink" Target="https://climate.weather.gc.ca/climate_normals/results_e.html?searchType=stnProv&amp;lstProvince&amp;txtCentralLatMin=0&amp;txtCentralLatSec=0&amp;txtCentralLongMin=0&amp;txtCentralLongSec=0&amp;climate_id=8400413&amp;dispBack=0" TargetMode="External"/><Relationship Id="rId85" Type="http://schemas.openxmlformats.org/officeDocument/2006/relationships/hyperlink" Target="https://climat.meteo.gc.ca/climate_normals/results_1981_2010_e.html?searchType=stnProv&amp;lstProvince&amp;txtCentralLatMin=0&amp;txtCentralLatSec=0&amp;txtCentralLongMin=0&amp;txtCentralLongSec=0&amp;climate_id=8400413&amp;dispBack=0" TargetMode="External"/><Relationship Id="rId88" Type="http://schemas.openxmlformats.org/officeDocument/2006/relationships/hyperlink" Target="https://github.com/IBM/ibm-watsonx-orchestrate-adk" TargetMode="External"/><Relationship Id="rId87" Type="http://schemas.openxmlformats.org/officeDocument/2006/relationships/hyperlink" Target="https://api.weather.gc.ca/collections/ltce-stations/items?f=csv&amp;limit=30000&amp;ELEMENT_NAME_E=SNOWFALL" TargetMode="External"/><Relationship Id="rId89" Type="http://schemas.openxmlformats.org/officeDocument/2006/relationships/hyperlink" Target="https://aws.amazon.com/blogs/ibm-redhat/build-ai-agents-with-ibm-watsonx-orchestrate-adk-and-kiro-on-aws/" TargetMode="External"/><Relationship Id="rId80" Type="http://schemas.openxmlformats.org/officeDocument/2006/relationships/hyperlink" Target="https://api.weather.gc.ca/" TargetMode="External"/><Relationship Id="rId82" Type="http://schemas.openxmlformats.org/officeDocument/2006/relationships/hyperlink" Target="https://github.com/ECCC-MSC/Wateroffice/blob/master/docs/msc-geomet-wfs3-api-howto-en.md" TargetMode="External"/><Relationship Id="rId81" Type="http://schemas.openxmlformats.org/officeDocument/2006/relationships/hyperlink" Target="https://eccc-msc.github.io/open-data/msc-geomet/ogc_api_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24.png"/><Relationship Id="rId73" Type="http://schemas.openxmlformats.org/officeDocument/2006/relationships/hyperlink" Target="https://www.tandfonline.com/doi/full/10.1080/07038992.2024.2391972" TargetMode="External"/><Relationship Id="rId72" Type="http://schemas.openxmlformats.org/officeDocument/2006/relationships/hyperlink" Target="https://www.diva-portal.org/smash/get/diva2:720416/FULLTEXT01.pdf" TargetMode="External"/><Relationship Id="rId75" Type="http://schemas.openxmlformats.org/officeDocument/2006/relationships/hyperlink" Target="https://www.mdpi.com/2073-4441/16/18/2648" TargetMode="External"/><Relationship Id="rId74" Type="http://schemas.openxmlformats.org/officeDocument/2006/relationships/hyperlink" Target="https://www.researchgate.net/publication/384869060_Integrated_Hydrological_and_Hydraulic_Modeling_for_River_Freezing_Simulation_Impacts_of_a_Changing_Climate_on_the_Freeze-Up_of_the_Exploits_River_in_Newfoundland" TargetMode="External"/><Relationship Id="rId77" Type="http://schemas.openxmlformats.org/officeDocument/2006/relationships/hyperlink" Target="https://spectrum.library.concordia.ca/id/eprint/992751/" TargetMode="External"/><Relationship Id="rId76" Type="http://schemas.openxmlformats.org/officeDocument/2006/relationships/hyperlink" Target="https://www.mdpi.com/2079-9276/11/2/12" TargetMode="External"/><Relationship Id="rId79" Type="http://schemas.openxmlformats.org/officeDocument/2006/relationships/hyperlink" Target="https://tc.copernicus.org/articles/18/4177/2024/tc-18-4177-2024.pdf" TargetMode="External"/><Relationship Id="rId78" Type="http://schemas.openxmlformats.org/officeDocument/2006/relationships/hyperlink" Target="https://scholar.google.co.th/citations?user=7-CMHycAAAAJ&amp;hl=th" TargetMode="External"/><Relationship Id="rId71" Type="http://schemas.openxmlformats.org/officeDocument/2006/relationships/hyperlink" Target="https://www.nrc.gov/docs/ML1927/ML19274D210.pdf" TargetMode="External"/><Relationship Id="rId70" Type="http://schemas.openxmlformats.org/officeDocument/2006/relationships/hyperlink" Target="https://tc.copernicus.org/articles/14/3329/2020/tc-14-3329-2020.html" TargetMode="External"/><Relationship Id="rId62" Type="http://schemas.openxmlformats.org/officeDocument/2006/relationships/hyperlink" Target="https://vocm.com/2026/01/25/power-warning-lifted-6-units-at-bay-despior-back-in-service/" TargetMode="External"/><Relationship Id="rId61" Type="http://schemas.openxmlformats.org/officeDocument/2006/relationships/hyperlink" Target="http://pub.nl.ca/applications/IslandInterconnectedSystem/files/rfi/PUB-NLH-598.pdf" TargetMode="External"/><Relationship Id="rId64" Type="http://schemas.openxmlformats.org/officeDocument/2006/relationships/hyperlink" Target="https://nlhydro.com/update-on-status-of-our-electricity-system/" TargetMode="External"/><Relationship Id="rId63" Type="http://schemas.openxmlformats.org/officeDocument/2006/relationships/hyperlink" Target="https://nlhydro.com/good-to-know/frazil-ice-and-the-power-system-the-behind-the-scenes-role-of-energy-marketing-and-rpp/" TargetMode="External"/><Relationship Id="rId66" Type="http://schemas.openxmlformats.org/officeDocument/2006/relationships/hyperlink" Target="https://iwaponline.com/hr/article/54/6/770/95508/Frazil-ice-events-Assessing-what-to-expect-in-the" TargetMode="External"/><Relationship Id="rId65" Type="http://schemas.openxmlformats.org/officeDocument/2006/relationships/hyperlink" Target="https://pmc.ncbi.nlm.nih.gov/articles/PMC9581479/" TargetMode="External"/><Relationship Id="rId68" Type="http://schemas.openxmlformats.org/officeDocument/2006/relationships/hyperlink" Target="https://journals.ametsoc.org/view/journals/phoc/45/8/jpo-d-14-0184.1.xml" TargetMode="External"/><Relationship Id="rId67" Type="http://schemas.openxmlformats.org/officeDocument/2006/relationships/hyperlink" Target="https://tc.copernicus.org/articles/18/4177/2024/" TargetMode="External"/><Relationship Id="rId60" Type="http://schemas.openxmlformats.org/officeDocument/2006/relationships/hyperlink" Target="https://vocm.com/2026/01/23/290032/" TargetMode="External"/><Relationship Id="rId69" Type="http://schemas.openxmlformats.org/officeDocument/2006/relationships/hyperlink" Target="https://cdnsciencepub.com/doi/10.1139/cjce-2023-0076" TargetMode="External"/><Relationship Id="rId51" Type="http://schemas.openxmlformats.org/officeDocument/2006/relationships/hyperlink" Target="https://www.cbc.ca/news/canada/newfoundland-labrador/labrador-island-link-test-1.6805446" TargetMode="External"/><Relationship Id="rId50" Type="http://schemas.openxmlformats.org/officeDocument/2006/relationships/hyperlink" Target="http://www.pub.nf.ca/applications/ARCHIVE/MuskratFalls2011/files/mhi/MHI-Report-VolumeII-HVDC.pdf" TargetMode="External"/><Relationship Id="rId53" Type="http://schemas.openxmlformats.org/officeDocument/2006/relationships/hyperlink" Target="https://www.emeranl.com/docs/librariesprovider13/maritime-link-documents/2013-regulatory-process/app-3-01-technical-appendix.pdf?sfvrsn=a59dc7f7_2" TargetMode="External"/><Relationship Id="rId52" Type="http://schemas.openxmlformats.org/officeDocument/2006/relationships/hyperlink" Target="https://www.gevernova.com/grid-solutions/sites/default/files/2025-11/Labrador-Island-Link-Case-Study-EN-N33189-Hybrid-202507-R002.pdf" TargetMode="External"/><Relationship Id="rId55" Type="http://schemas.openxmlformats.org/officeDocument/2006/relationships/hyperlink" Target="https://www.releases.gov.nl.ca/releases/2010/exec/1118n06.htm" TargetMode="External"/><Relationship Id="rId54" Type="http://schemas.openxmlformats.org/officeDocument/2006/relationships/hyperlink" Target="https://novascotia.ca/nse/ea/maritime-link/2_ENL_Section_1.0-3.0.pdf" TargetMode="External"/><Relationship Id="rId57" Type="http://schemas.openxmlformats.org/officeDocument/2006/relationships/hyperlink" Target="https://waves-vagues.dfo-mpo.gc.ca/Library/40680915.pdf" TargetMode="External"/><Relationship Id="rId56" Type="http://schemas.openxmlformats.org/officeDocument/2006/relationships/hyperlink" Target="https://nlhydro.com/about-us/our-electricity-system/our-generation-assets/#:~:text=Holyrood%20Thermal%20Generating%20Station%20(490%20MW)&amp;text=6%20fuel%20and%20consists%20of,generating%20capacity%20of%20490%20MW." TargetMode="External"/><Relationship Id="rId59" Type="http://schemas.openxmlformats.org/officeDocument/2006/relationships/hyperlink" Target="https://ascelibrary.org/doi/10.1061/JCRGEI.CRENG-676" TargetMode="External"/><Relationship Id="rId58" Type="http://schemas.openxmlformats.org/officeDocument/2006/relationships/hyperlink" Target="https://apps.dtic.mil/sti/tr/pdf/ADA1474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