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2304A"/>
          <w:sz w:val="80"/>
        </w:rPr>
        <w:t>SBMS</w:t>
      </w:r>
    </w:p>
    <w:p>
      <w:pPr>
        <w:jc w:val="center"/>
      </w:pPr>
      <w:r>
        <w:rPr>
          <w:b/>
          <w:color w:val="176B68"/>
          <w:sz w:val="30"/>
        </w:rPr>
        <w:t>SMART BUDGETING AND MICRO-SAVINGS SOFTWARE</w:t>
      </w:r>
    </w:p>
    <w:p>
      <w:pPr>
        <w:spacing w:before="480"/>
        <w:jc w:val="center"/>
      </w:pPr>
      <w:r>
        <w:rPr>
          <w:b/>
          <w:color w:val="12304A"/>
          <w:sz w:val="46"/>
        </w:rPr>
        <w:t>THE WINNING PRODUCT BLUEPRINT</w:t>
      </w:r>
    </w:p>
    <w:p>
      <w:pPr>
        <w:jc w:val="center"/>
      </w:pPr>
      <w:r>
        <w:t>Concept • Research • Differentiation • MVP • UX • Technical plan • Safety • Launch</w:t>
      </w:r>
    </w:p>
    <w:p>
      <w:pPr>
        <w:spacing w:before="1200"/>
        <w:jc w:val="center"/>
      </w:pPr>
      <w:r>
        <w:t>Initial market: University, polytechnic and college-of-education students in Nigeria</w:t>
        <w:br/>
        <w:t>Prepared October 2026</w:t>
      </w:r>
    </w:p>
    <w:p>
      <w:r>
        <w:br w:type="page"/>
      </w:r>
    </w:p>
    <w:p>
      <w:pPr>
        <w:pStyle w:val="Heading1"/>
      </w:pPr>
      <w:r>
        <w:t>How to use this blueprint</w:t>
      </w:r>
    </w:p>
    <w:p>
      <w:r>
        <w:t>This consolidated document combines the earlier SBMS concept, problem statement, research context, multilingual plan, survey framework and investment simulator with the newer product differentiators and a realistic implementation plan. It is deliberately focused: the aim is to launch a small product that solves a real problem exceptionally well, then expand based on student evidence.</w:t>
      </w:r>
    </w:p>
    <w:p>
      <w:pPr>
        <w:pStyle w:val="Heading2"/>
      </w:pPr>
      <w:r>
        <w:t>The core strategic recommendation</w:t>
      </w:r>
    </w:p>
    <w:p>
      <w:r>
        <w:t>Position SBMS as the student’s “make my money last until my next income” companion. Lead with a simple money-runway planner, irregular-income budgeting and a calm low-balance recovery plan. Connect those to expense tracking, micro-savings, short financial lessons, five-language support and a virtual investment simulator.</w:t>
      </w:r>
    </w:p>
    <w:p>
      <w:r>
        <w:t>Build a mobile-first web app/PWA with manual entry first. Do not start with bank integrations, real-money custody, real investments, complex AI, group savings pools or a marketplace. These increase cost and risk before the core value is proven.</w:t>
      </w:r>
    </w:p>
    <w:p>
      <w:pPr>
        <w:pStyle w:val="Heading1"/>
      </w:pPr>
      <w:r>
        <w:t>Contents</w:t>
      </w:r>
    </w:p>
    <w:p>
      <w:pPr>
        <w:pStyle w:val="ListBullet"/>
        <w:spacing w:after="20"/>
      </w:pPr>
      <w:r>
        <w:t>1. Executive summary and product promise</w:t>
      </w:r>
    </w:p>
    <w:p>
      <w:pPr>
        <w:pStyle w:val="ListBullet"/>
        <w:spacing w:after="20"/>
      </w:pPr>
      <w:r>
        <w:t>2. Vision, mission, problem and target users</w:t>
      </w:r>
    </w:p>
    <w:p>
      <w:pPr>
        <w:pStyle w:val="ListBullet"/>
        <w:spacing w:after="20"/>
      </w:pPr>
      <w:r>
        <w:t>3. Evidence, research gap and validation</w:t>
      </w:r>
    </w:p>
    <w:p>
      <w:pPr>
        <w:pStyle w:val="ListBullet"/>
        <w:spacing w:after="20"/>
      </w:pPr>
      <w:r>
        <w:t>4. Differentiation and competitor strategy</w:t>
      </w:r>
    </w:p>
    <w:p>
      <w:pPr>
        <w:pStyle w:val="ListBullet"/>
        <w:spacing w:after="20"/>
      </w:pPr>
      <w:r>
        <w:t>5. MVP and feature roadmap</w:t>
      </w:r>
    </w:p>
    <w:p>
      <w:pPr>
        <w:pStyle w:val="ListBullet"/>
        <w:spacing w:after="20"/>
      </w:pPr>
      <w:r>
        <w:t>6. Signature feature logic</w:t>
      </w:r>
    </w:p>
    <w:p>
      <w:pPr>
        <w:pStyle w:val="ListBullet"/>
        <w:spacing w:after="20"/>
      </w:pPr>
      <w:r>
        <w:t>7. UX and screen plan</w:t>
      </w:r>
    </w:p>
    <w:p>
      <w:pPr>
        <w:pStyle w:val="ListBullet"/>
        <w:spacing w:after="20"/>
      </w:pPr>
      <w:r>
        <w:t>8. Technical requirements and architecture</w:t>
      </w:r>
    </w:p>
    <w:p>
      <w:pPr>
        <w:pStyle w:val="ListBullet"/>
        <w:spacing w:after="20"/>
      </w:pPr>
      <w:r>
        <w:t>9. Privacy, security and financial safety</w:t>
      </w:r>
    </w:p>
    <w:p>
      <w:pPr>
        <w:pStyle w:val="ListBullet"/>
        <w:spacing w:after="20"/>
      </w:pPr>
      <w:r>
        <w:t>10. Multilingual quality plan</w:t>
      </w:r>
    </w:p>
    <w:p>
      <w:pPr>
        <w:pStyle w:val="ListBullet"/>
        <w:spacing w:after="20"/>
      </w:pPr>
      <w:r>
        <w:t>11. Roadmap, team and risks</w:t>
      </w:r>
    </w:p>
    <w:p>
      <w:pPr>
        <w:pStyle w:val="ListBullet"/>
        <w:spacing w:after="20"/>
      </w:pPr>
      <w:r>
        <w:t>12. Testing, metrics and launch</w:t>
      </w:r>
    </w:p>
    <w:p>
      <w:pPr>
        <w:pStyle w:val="ListBullet"/>
        <w:spacing w:after="20"/>
      </w:pPr>
      <w:r>
        <w:t>13. Survey, interview and pilot instruments</w:t>
      </w:r>
    </w:p>
    <w:p>
      <w:pPr>
        <w:pStyle w:val="ListBullet"/>
        <w:spacing w:after="20"/>
      </w:pPr>
      <w:r>
        <w:t>14. Acceptance checklist and developer brief</w:t>
      </w:r>
    </w:p>
    <w:p>
      <w:pPr>
        <w:pStyle w:val="ListBullet"/>
        <w:spacing w:after="20"/>
      </w:pPr>
      <w:r>
        <w:t>15. References and assumptions</w:t>
      </w:r>
    </w:p>
    <w:p>
      <w:pPr>
        <w:pStyle w:val="Heading1"/>
      </w:pPr>
      <w:r>
        <w:t>1. Executive summary</w:t>
      </w:r>
    </w:p>
    <w:p>
      <w:r>
        <w:t>Smart Budgeting and Micro-Savings Software (SBMS) is a proposed student-focused personal-finance platform for people managing small, irregular or uncertain amounts of money. It helps users record income and spending, plan essential and flexible expenses, set realistic savings goals, and learn money skills through short lessons and risk-free simulations.</w:t>
      </w:r>
    </w:p>
    <w:p>
      <w:r>
        <w:t>The strongest initial differentiator is not simply budgeting plus financial education. It is a student cash-flow experience built around practical questions: How much can I safely spend today? What must I protect until my next income? What can I change if the money is not enough?</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Principle</w:t>
            </w:r>
          </w:p>
        </w:tc>
        <w:tc>
          <w:tcPr>
            <w:tcW w:type="dxa" w:w="5040"/>
            <w:shd w:fill="12304A"/>
          </w:tcPr>
          <w:p>
            <w:r>
              <w:rPr>
                <w:b/>
                <w:color w:val="FFFFFF"/>
                <w:sz w:val="16"/>
              </w:rPr>
              <w:t>Practical meaning</w:t>
            </w:r>
          </w:p>
        </w:tc>
      </w:tr>
      <w:tr>
        <w:tc>
          <w:tcPr>
            <w:tcW w:type="dxa" w:w="5040"/>
            <w:vAlign w:val="center"/>
          </w:tcPr>
          <w:p>
            <w:pPr>
              <w:spacing w:after="20"/>
            </w:pPr>
            <w:r>
              <w:rPr>
                <w:sz w:val="15"/>
              </w:rPr>
              <w:t>Practical before impressive</w:t>
            </w:r>
          </w:p>
        </w:tc>
        <w:tc>
          <w:tcPr>
            <w:tcW w:type="dxa" w:w="5040"/>
            <w:vAlign w:val="center"/>
          </w:tcPr>
          <w:p>
            <w:pPr>
              <w:spacing w:after="20"/>
            </w:pPr>
            <w:r>
              <w:rPr>
                <w:sz w:val="15"/>
              </w:rPr>
              <w:t>A useful plan in under two minutes beats a dashboard full of decorative charts.</w:t>
            </w:r>
          </w:p>
        </w:tc>
      </w:tr>
      <w:tr>
        <w:tc>
          <w:tcPr>
            <w:tcW w:type="dxa" w:w="5040"/>
            <w:vAlign w:val="center"/>
            <w:shd w:fill="F1F5F8"/>
          </w:tcPr>
          <w:p>
            <w:pPr>
              <w:spacing w:after="20"/>
            </w:pPr>
            <w:r>
              <w:rPr>
                <w:sz w:val="15"/>
              </w:rPr>
              <w:t>Student-first</w:t>
            </w:r>
          </w:p>
        </w:tc>
        <w:tc>
          <w:tcPr>
            <w:tcW w:type="dxa" w:w="5040"/>
            <w:vAlign w:val="center"/>
            <w:shd w:fill="F1F5F8"/>
          </w:tcPr>
          <w:p>
            <w:pPr>
              <w:spacing w:after="20"/>
            </w:pPr>
            <w:r>
              <w:rPr>
                <w:sz w:val="15"/>
              </w:rPr>
              <w:t>Use food, transport, data, school materials, accommodation and personal-spending categories.</w:t>
            </w:r>
          </w:p>
        </w:tc>
      </w:tr>
      <w:tr>
        <w:tc>
          <w:tcPr>
            <w:tcW w:type="dxa" w:w="5040"/>
            <w:vAlign w:val="center"/>
          </w:tcPr>
          <w:p>
            <w:pPr>
              <w:spacing w:after="20"/>
            </w:pPr>
            <w:r>
              <w:rPr>
                <w:sz w:val="15"/>
              </w:rPr>
              <w:t>Irregular-income aware</w:t>
            </w:r>
          </w:p>
        </w:tc>
        <w:tc>
          <w:tcPr>
            <w:tcW w:type="dxa" w:w="5040"/>
            <w:vAlign w:val="center"/>
          </w:tcPr>
          <w:p>
            <w:pPr>
              <w:spacing w:after="20"/>
            </w:pPr>
            <w:r>
              <w:rPr>
                <w:sz w:val="15"/>
              </w:rPr>
              <w:t>Users can update income dates and amounts when reality changes.</w:t>
            </w:r>
          </w:p>
        </w:tc>
      </w:tr>
      <w:tr>
        <w:tc>
          <w:tcPr>
            <w:tcW w:type="dxa" w:w="5040"/>
            <w:vAlign w:val="center"/>
            <w:shd w:fill="F1F5F8"/>
          </w:tcPr>
          <w:p>
            <w:pPr>
              <w:spacing w:after="20"/>
            </w:pPr>
            <w:r>
              <w:rPr>
                <w:sz w:val="15"/>
              </w:rPr>
              <w:t>No shame</w:t>
            </w:r>
          </w:p>
        </w:tc>
        <w:tc>
          <w:tcPr>
            <w:tcW w:type="dxa" w:w="5040"/>
            <w:vAlign w:val="center"/>
            <w:shd w:fill="F1F5F8"/>
          </w:tcPr>
          <w:p>
            <w:pPr>
              <w:spacing w:after="20"/>
            </w:pPr>
            <w:r>
              <w:rPr>
                <w:sz w:val="15"/>
              </w:rPr>
              <w:t>Supportive alerts; never label a user irresponsible because they have little money.</w:t>
            </w:r>
          </w:p>
        </w:tc>
      </w:tr>
      <w:tr>
        <w:tc>
          <w:tcPr>
            <w:tcW w:type="dxa" w:w="5040"/>
            <w:vAlign w:val="center"/>
          </w:tcPr>
          <w:p>
            <w:pPr>
              <w:spacing w:after="20"/>
            </w:pPr>
            <w:r>
              <w:rPr>
                <w:sz w:val="15"/>
              </w:rPr>
              <w:t>Safe by default</w:t>
            </w:r>
          </w:p>
        </w:tc>
        <w:tc>
          <w:tcPr>
            <w:tcW w:type="dxa" w:w="5040"/>
            <w:vAlign w:val="center"/>
          </w:tcPr>
          <w:p>
            <w:pPr>
              <w:spacing w:after="20"/>
            </w:pPr>
            <w:r>
              <w:rPr>
                <w:sz w:val="15"/>
              </w:rPr>
              <w:t>Virtual investment learning only; no real money is held or invested.</w:t>
            </w:r>
          </w:p>
        </w:tc>
      </w:tr>
      <w:tr>
        <w:tc>
          <w:tcPr>
            <w:tcW w:type="dxa" w:w="5040"/>
            <w:vAlign w:val="center"/>
            <w:shd w:fill="F1F5F8"/>
          </w:tcPr>
          <w:p>
            <w:pPr>
              <w:spacing w:after="20"/>
            </w:pPr>
            <w:r>
              <w:rPr>
                <w:sz w:val="15"/>
              </w:rPr>
              <w:t>Accessible</w:t>
            </w:r>
          </w:p>
        </w:tc>
        <w:tc>
          <w:tcPr>
            <w:tcW w:type="dxa" w:w="5040"/>
            <w:vAlign w:val="center"/>
            <w:shd w:fill="F1F5F8"/>
          </w:tcPr>
          <w:p>
            <w:pPr>
              <w:spacing w:after="20"/>
            </w:pPr>
            <w:r>
              <w:rPr>
                <w:sz w:val="15"/>
              </w:rPr>
              <w:t>English, Yoruba, Nigerian Pidgin, Igbo and Hausa, reviewed by fluent speakers.</w:t>
            </w:r>
          </w:p>
        </w:tc>
      </w:tr>
      <w:tr>
        <w:tc>
          <w:tcPr>
            <w:tcW w:type="dxa" w:w="5040"/>
            <w:vAlign w:val="center"/>
          </w:tcPr>
          <w:p>
            <w:pPr>
              <w:spacing w:after="20"/>
            </w:pPr>
            <w:r>
              <w:rPr>
                <w:sz w:val="15"/>
              </w:rPr>
              <w:t>Evidence-led</w:t>
            </w:r>
          </w:p>
        </w:tc>
        <w:tc>
          <w:tcPr>
            <w:tcW w:type="dxa" w:w="5040"/>
            <w:vAlign w:val="center"/>
          </w:tcPr>
          <w:p>
            <w:pPr>
              <w:spacing w:after="20"/>
            </w:pPr>
            <w:r>
              <w:rPr>
                <w:sz w:val="15"/>
              </w:rPr>
              <w:t>Test with students and publish only claims supported by results.</w:t>
            </w:r>
          </w:p>
        </w:tc>
      </w:tr>
    </w:tbl>
    <w:p/>
    <w:p>
      <w:pPr>
        <w:pStyle w:val="Heading2"/>
      </w:pPr>
      <w:r>
        <w:t>The SBMS promise</w:t>
      </w:r>
    </w:p>
    <w:p>
      <w:r>
        <w:t>“Know what you have. Plan what matters. Make your money last. Build your future one small step at a time.”</w:t>
      </w:r>
    </w:p>
    <w:p>
      <w:pPr>
        <w:pStyle w:val="Heading1"/>
      </w:pPr>
      <w:r>
        <w:t>2. Vision, mission, problem and target users</w:t>
      </w:r>
    </w:p>
    <w:p>
      <w:pPr>
        <w:pStyle w:val="Heading2"/>
      </w:pPr>
      <w:r>
        <w:t>Vision and mission</w:t>
      </w:r>
    </w:p>
    <w:p>
      <w:r>
        <w:t>Vision: Make practical money management and financial learning more accessible to students through simple, inclusive digital tools.</w:t>
      </w:r>
    </w:p>
    <w:p>
      <w:r>
        <w:t>Mission: Help students understand their money, plan spending, build sustainable savings habits and improve financial knowledge through student-oriented tools and multilingual learning.</w:t>
      </w:r>
    </w:p>
    <w:p>
      <w:pPr>
        <w:pStyle w:val="Heading2"/>
      </w:pPr>
      <w:r>
        <w:t>Problem statement</w:t>
      </w:r>
    </w:p>
    <w:p>
      <w:r>
        <w:t>University and tertiary-level students may receive money from parents or guardians, allowances, scholarships, part-time work, side businesses or several sources at once. These inflows can be irregular and must cover food, transportation, accommodation, academic materials, data and personal expenses. Without a simple way to see what remains and plan across time, students may struggle to prioritize essentials, anticipate shortfalls, respond to unexpected costs and save consistently.</w:t>
      </w:r>
    </w:p>
    <w:p>
      <w:r>
        <w:t>Digital payment access alone does not guarantee budgeting skills or confidence in financial decisions. Students also need understandable guidance and a safe way to practise financial concepts before risking real money. SBMS combines cash-flow planning, spending records, goal-based micro-savings, short lessons, multilingual accessibility and a virtual investment simulator.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User group</w:t>
            </w:r>
          </w:p>
        </w:tc>
        <w:tc>
          <w:tcPr>
            <w:tcW w:type="dxa" w:w="3360"/>
            <w:shd w:fill="12304A"/>
          </w:tcPr>
          <w:p>
            <w:r>
              <w:rPr>
                <w:b/>
                <w:color w:val="FFFFFF"/>
                <w:sz w:val="16"/>
              </w:rPr>
              <w:t>Primary need</w:t>
            </w:r>
          </w:p>
        </w:tc>
        <w:tc>
          <w:tcPr>
            <w:tcW w:type="dxa" w:w="3360"/>
            <w:shd w:fill="12304A"/>
          </w:tcPr>
          <w:p>
            <w:r>
              <w:rPr>
                <w:b/>
                <w:color w:val="FFFFFF"/>
                <w:sz w:val="16"/>
              </w:rPr>
              <w:t>Priority</w:t>
            </w:r>
          </w:p>
        </w:tc>
      </w:tr>
      <w:tr>
        <w:tc>
          <w:tcPr>
            <w:tcW w:type="dxa" w:w="3360"/>
            <w:vAlign w:val="center"/>
          </w:tcPr>
          <w:p>
            <w:pPr>
              <w:spacing w:after="20"/>
            </w:pPr>
            <w:r>
              <w:rPr>
                <w:sz w:val="15"/>
              </w:rPr>
              <w:t>University students</w:t>
            </w:r>
          </w:p>
        </w:tc>
        <w:tc>
          <w:tcPr>
            <w:tcW w:type="dxa" w:w="3360"/>
            <w:vAlign w:val="center"/>
          </w:tcPr>
          <w:p>
            <w:pPr>
              <w:spacing w:after="20"/>
            </w:pPr>
            <w:r>
              <w:rPr>
                <w:sz w:val="15"/>
              </w:rPr>
              <w:t>Stretch allowance or mixed income across a month/semester.</w:t>
            </w:r>
          </w:p>
        </w:tc>
        <w:tc>
          <w:tcPr>
            <w:tcW w:type="dxa" w:w="3360"/>
            <w:vAlign w:val="center"/>
          </w:tcPr>
          <w:p>
            <w:pPr>
              <w:spacing w:after="20"/>
            </w:pPr>
            <w:r>
              <w:rPr>
                <w:sz w:val="15"/>
              </w:rPr>
              <w:t>Primary</w:t>
            </w:r>
          </w:p>
        </w:tc>
      </w:tr>
      <w:tr>
        <w:tc>
          <w:tcPr>
            <w:tcW w:type="dxa" w:w="3360"/>
            <w:vAlign w:val="center"/>
            <w:shd w:fill="F1F5F8"/>
          </w:tcPr>
          <w:p>
            <w:pPr>
              <w:spacing w:after="20"/>
            </w:pPr>
            <w:r>
              <w:rPr>
                <w:sz w:val="15"/>
              </w:rPr>
              <w:t>Polytechnic and college-of-education students</w:t>
            </w:r>
          </w:p>
        </w:tc>
        <w:tc>
          <w:tcPr>
            <w:tcW w:type="dxa" w:w="3360"/>
            <w:vAlign w:val="center"/>
            <w:shd w:fill="F1F5F8"/>
          </w:tcPr>
          <w:p>
            <w:pPr>
              <w:spacing w:after="20"/>
            </w:pPr>
            <w:r>
              <w:rPr>
                <w:sz w:val="15"/>
              </w:rPr>
              <w:t>Simple budgeting and practical financial learning.</w:t>
            </w:r>
          </w:p>
        </w:tc>
        <w:tc>
          <w:tcPr>
            <w:tcW w:type="dxa" w:w="3360"/>
            <w:vAlign w:val="center"/>
            <w:shd w:fill="F1F5F8"/>
          </w:tcPr>
          <w:p>
            <w:pPr>
              <w:spacing w:after="20"/>
            </w:pPr>
            <w:r>
              <w:rPr>
                <w:sz w:val="15"/>
              </w:rPr>
              <w:t>Primary</w:t>
            </w:r>
          </w:p>
        </w:tc>
      </w:tr>
      <w:tr>
        <w:tc>
          <w:tcPr>
            <w:tcW w:type="dxa" w:w="3360"/>
            <w:vAlign w:val="center"/>
          </w:tcPr>
          <w:p>
            <w:pPr>
              <w:spacing w:after="20"/>
            </w:pPr>
            <w:r>
              <w:rPr>
                <w:sz w:val="15"/>
              </w:rPr>
              <w:t>Students with irregular income</w:t>
            </w:r>
          </w:p>
        </w:tc>
        <w:tc>
          <w:tcPr>
            <w:tcW w:type="dxa" w:w="3360"/>
            <w:vAlign w:val="center"/>
          </w:tcPr>
          <w:p>
            <w:pPr>
              <w:spacing w:after="20"/>
            </w:pPr>
            <w:r>
              <w:rPr>
                <w:sz w:val="15"/>
              </w:rPr>
              <w:t>Re-plan when support, wages or side-hustle income changes.</w:t>
            </w:r>
          </w:p>
        </w:tc>
        <w:tc>
          <w:tcPr>
            <w:tcW w:type="dxa" w:w="3360"/>
            <w:vAlign w:val="center"/>
          </w:tcPr>
          <w:p>
            <w:pPr>
              <w:spacing w:after="20"/>
            </w:pPr>
            <w:r>
              <w:rPr>
                <w:sz w:val="15"/>
              </w:rPr>
              <w:t>Primary differentiator</w:t>
            </w:r>
          </w:p>
        </w:tc>
      </w:tr>
      <w:tr>
        <w:tc>
          <w:tcPr>
            <w:tcW w:type="dxa" w:w="3360"/>
            <w:vAlign w:val="center"/>
            <w:shd w:fill="F1F5F8"/>
          </w:tcPr>
          <w:p>
            <w:pPr>
              <w:spacing w:after="20"/>
            </w:pPr>
            <w:r>
              <w:rPr>
                <w:sz w:val="15"/>
              </w:rPr>
              <w:t>Recent graduates and interns</w:t>
            </w:r>
          </w:p>
        </w:tc>
        <w:tc>
          <w:tcPr>
            <w:tcW w:type="dxa" w:w="3360"/>
            <w:vAlign w:val="center"/>
            <w:shd w:fill="F1F5F8"/>
          </w:tcPr>
          <w:p>
            <w:pPr>
              <w:spacing w:after="20"/>
            </w:pPr>
            <w:r>
              <w:rPr>
                <w:sz w:val="15"/>
              </w:rPr>
              <w:t>Carry budgeting habits into early employment.</w:t>
            </w:r>
          </w:p>
        </w:tc>
        <w:tc>
          <w:tcPr>
            <w:tcW w:type="dxa" w:w="3360"/>
            <w:vAlign w:val="center"/>
            <w:shd w:fill="F1F5F8"/>
          </w:tcPr>
          <w:p>
            <w:pPr>
              <w:spacing w:after="20"/>
            </w:pPr>
            <w:r>
              <w:rPr>
                <w:sz w:val="15"/>
              </w:rPr>
              <w:t>Later expansion</w:t>
            </w:r>
          </w:p>
        </w:tc>
      </w:tr>
      <w:tr>
        <w:tc>
          <w:tcPr>
            <w:tcW w:type="dxa" w:w="3360"/>
            <w:vAlign w:val="center"/>
          </w:tcPr>
          <w:p>
            <w:pPr>
              <w:spacing w:after="20"/>
            </w:pPr>
            <w:r>
              <w:rPr>
                <w:sz w:val="15"/>
              </w:rPr>
              <w:t>Institutions and student associations</w:t>
            </w:r>
          </w:p>
        </w:tc>
        <w:tc>
          <w:tcPr>
            <w:tcW w:type="dxa" w:w="3360"/>
            <w:vAlign w:val="center"/>
          </w:tcPr>
          <w:p>
            <w:pPr>
              <w:spacing w:after="20"/>
            </w:pPr>
            <w:r>
              <w:rPr>
                <w:sz w:val="15"/>
              </w:rPr>
              <w:t>Offer financial-wellness support and learning programmes.</w:t>
            </w:r>
          </w:p>
        </w:tc>
        <w:tc>
          <w:tcPr>
            <w:tcW w:type="dxa" w:w="3360"/>
            <w:vAlign w:val="center"/>
          </w:tcPr>
          <w:p>
            <w:pPr>
              <w:spacing w:after="20"/>
            </w:pPr>
            <w:r>
              <w:rPr>
                <w:sz w:val="15"/>
              </w:rPr>
              <w:t>Potential partners</w:t>
            </w:r>
          </w:p>
        </w:tc>
      </w:tr>
    </w:tbl>
    <w:p/>
    <w:p>
      <w:r>
        <w:t>Not the initial target: users seeking a digital bank, real investment platform, live trading, automatic bank syncing, or a service that holds pooled group savings.</w:t>
      </w:r>
    </w:p>
    <w:p>
      <w:pPr>
        <w:pStyle w:val="Heading1"/>
      </w:pPr>
      <w:r>
        <w:t>3. Evidence, research gap and validation</w:t>
      </w:r>
    </w:p>
    <w:p>
      <w:r>
        <w:t>Use external evidence to explain why the topic matters, but never present adult financial-inclusion statistics as if they describe Nigerian students. The following figures were included in the earlier SBMS concept and must be checked against original publications before academic submission or public marketing.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Evidence in prior research summary</w:t>
            </w:r>
          </w:p>
        </w:tc>
        <w:tc>
          <w:tcPr>
            <w:tcW w:type="dxa" w:w="3360"/>
            <w:shd w:fill="12304A"/>
          </w:tcPr>
          <w:p>
            <w:r>
              <w:rPr>
                <w:b/>
                <w:color w:val="FFFFFF"/>
                <w:sz w:val="16"/>
              </w:rPr>
              <w:t>Responsible interpretation</w:t>
            </w:r>
          </w:p>
        </w:tc>
        <w:tc>
          <w:tcPr>
            <w:tcW w:type="dxa" w:w="3360"/>
            <w:shd w:fill="12304A"/>
          </w:tcPr>
          <w:p>
            <w:r>
              <w:rPr>
                <w:b/>
                <w:color w:val="FFFFFF"/>
                <w:sz w:val="16"/>
              </w:rPr>
              <w:t>Limitation</w:t>
            </w:r>
          </w:p>
        </w:tc>
      </w:tr>
      <w:tr>
        <w:tc>
          <w:tcPr>
            <w:tcW w:type="dxa" w:w="3360"/>
            <w:vAlign w:val="center"/>
          </w:tcPr>
          <w:p>
            <w:pPr>
              <w:spacing w:after="20"/>
            </w:pPr>
            <w:r>
              <w:rPr>
                <w:sz w:val="15"/>
              </w:rPr>
              <w:t>EFInA 2023: 49% of Nigerian adults identified little or irregular income as a barrier to financial access, up from 31% in 2020.</w:t>
            </w:r>
          </w:p>
        </w:tc>
        <w:tc>
          <w:tcPr>
            <w:tcW w:type="dxa" w:w="3360"/>
            <w:vAlign w:val="center"/>
          </w:tcPr>
          <w:p>
            <w:pPr>
              <w:spacing w:after="20"/>
            </w:pPr>
            <w:r>
              <w:rPr>
                <w:sz w:val="15"/>
              </w:rPr>
              <w:t>Supports the broader relevance of irregular-income planning.</w:t>
            </w:r>
          </w:p>
        </w:tc>
        <w:tc>
          <w:tcPr>
            <w:tcW w:type="dxa" w:w="3360"/>
            <w:vAlign w:val="center"/>
          </w:tcPr>
          <w:p>
            <w:pPr>
              <w:spacing w:after="20"/>
            </w:pPr>
            <w:r>
              <w:rPr>
                <w:sz w:val="15"/>
              </w:rPr>
              <w:t>Adult statistic, not student prevalence.</w:t>
            </w:r>
          </w:p>
        </w:tc>
      </w:tr>
      <w:tr>
        <w:tc>
          <w:tcPr>
            <w:tcW w:type="dxa" w:w="3360"/>
            <w:vAlign w:val="center"/>
            <w:shd w:fill="F1F5F8"/>
          </w:tcPr>
          <w:p>
            <w:pPr>
              <w:spacing w:after="20"/>
            </w:pPr>
            <w:r>
              <w:rPr>
                <w:sz w:val="15"/>
              </w:rPr>
              <w:t>EFInA 2023: 26%, about 28.9 million Nigerian adults, were financially excluded.</w:t>
            </w:r>
          </w:p>
        </w:tc>
        <w:tc>
          <w:tcPr>
            <w:tcW w:type="dxa" w:w="3360"/>
            <w:vAlign w:val="center"/>
            <w:shd w:fill="F1F5F8"/>
          </w:tcPr>
          <w:p>
            <w:pPr>
              <w:spacing w:after="20"/>
            </w:pPr>
            <w:r>
              <w:rPr>
                <w:sz w:val="15"/>
              </w:rPr>
              <w:t>Shows broader inclusion challenges.</w:t>
            </w:r>
          </w:p>
        </w:tc>
        <w:tc>
          <w:tcPr>
            <w:tcW w:type="dxa" w:w="3360"/>
            <w:vAlign w:val="center"/>
            <w:shd w:fill="F1F5F8"/>
          </w:tcPr>
          <w:p>
            <w:pPr>
              <w:spacing w:after="20"/>
            </w:pPr>
            <w:r>
              <w:rPr>
                <w:sz w:val="15"/>
              </w:rPr>
              <w:t>Exclusion is not the same as budgeting difficulty.</w:t>
            </w:r>
          </w:p>
        </w:tc>
      </w:tr>
      <w:tr>
        <w:tc>
          <w:tcPr>
            <w:tcW w:type="dxa" w:w="3360"/>
            <w:vAlign w:val="center"/>
          </w:tcPr>
          <w:p>
            <w:pPr>
              <w:spacing w:after="20"/>
            </w:pPr>
            <w:r>
              <w:rPr>
                <w:sz w:val="15"/>
              </w:rPr>
              <w:t>EFInA 2023: adults reporting financial goals rose from 73% in 2020 to 84% in 2023.</w:t>
            </w:r>
          </w:p>
        </w:tc>
        <w:tc>
          <w:tcPr>
            <w:tcW w:type="dxa" w:w="3360"/>
            <w:vAlign w:val="center"/>
          </w:tcPr>
          <w:p>
            <w:pPr>
              <w:spacing w:after="20"/>
            </w:pPr>
            <w:r>
              <w:rPr>
                <w:sz w:val="15"/>
              </w:rPr>
              <w:t>Supports exploring goal-based planning.</w:t>
            </w:r>
          </w:p>
        </w:tc>
        <w:tc>
          <w:tcPr>
            <w:tcW w:type="dxa" w:w="3360"/>
            <w:vAlign w:val="center"/>
          </w:tcPr>
          <w:p>
            <w:pPr>
              <w:spacing w:after="20"/>
            </w:pPr>
            <w:r>
              <w:rPr>
                <w:sz w:val="15"/>
              </w:rPr>
              <w:t>Does not prove students share this pattern or achieve goals.</w:t>
            </w:r>
          </w:p>
        </w:tc>
      </w:tr>
      <w:tr>
        <w:tc>
          <w:tcPr>
            <w:tcW w:type="dxa" w:w="3360"/>
            <w:vAlign w:val="center"/>
            <w:shd w:fill="F1F5F8"/>
          </w:tcPr>
          <w:p>
            <w:pPr>
              <w:spacing w:after="20"/>
            </w:pPr>
            <w:r>
              <w:rPr>
                <w:sz w:val="15"/>
              </w:rPr>
              <w:t>Bello (2023): study of financial literacy among Nigerian university students, noted as 500 undergraduates.</w:t>
            </w:r>
          </w:p>
        </w:tc>
        <w:tc>
          <w:tcPr>
            <w:tcW w:type="dxa" w:w="3360"/>
            <w:vAlign w:val="center"/>
            <w:shd w:fill="F1F5F8"/>
          </w:tcPr>
          <w:p>
            <w:pPr>
              <w:spacing w:after="20"/>
            </w:pPr>
            <w:r>
              <w:rPr>
                <w:sz w:val="15"/>
              </w:rPr>
              <w:t>Locally relevant starting point for the literature review.</w:t>
            </w:r>
          </w:p>
        </w:tc>
        <w:tc>
          <w:tcPr>
            <w:tcW w:type="dxa" w:w="3360"/>
            <w:vAlign w:val="center"/>
            <w:shd w:fill="F1F5F8"/>
          </w:tcPr>
          <w:p>
            <w:pPr>
              <w:spacing w:after="20"/>
            </w:pPr>
            <w:r>
              <w:rPr>
                <w:sz w:val="15"/>
              </w:rPr>
              <w:t>Verify sample, methods and findings directly.</w:t>
            </w:r>
          </w:p>
        </w:tc>
      </w:tr>
      <w:tr>
        <w:tc>
          <w:tcPr>
            <w:tcW w:type="dxa" w:w="3360"/>
            <w:vAlign w:val="center"/>
          </w:tcPr>
          <w:p>
            <w:pPr>
              <w:spacing w:after="20"/>
            </w:pPr>
            <w:r>
              <w:rPr>
                <w:sz w:val="15"/>
              </w:rPr>
              <w:t>Akinyede (2019): study of financial literacy/money management among 385 tertiary students in selected Osun State universities.</w:t>
            </w:r>
          </w:p>
        </w:tc>
        <w:tc>
          <w:tcPr>
            <w:tcW w:type="dxa" w:w="3360"/>
            <w:vAlign w:val="center"/>
          </w:tcPr>
          <w:p>
            <w:pPr>
              <w:spacing w:after="20"/>
            </w:pPr>
            <w:r>
              <w:rPr>
                <w:sz w:val="15"/>
              </w:rPr>
              <w:t>Shows student money management has been studied locally.</w:t>
            </w:r>
          </w:p>
        </w:tc>
        <w:tc>
          <w:tcPr>
            <w:tcW w:type="dxa" w:w="3360"/>
            <w:vAlign w:val="center"/>
          </w:tcPr>
          <w:p>
            <w:pPr>
              <w:spacing w:after="20"/>
            </w:pPr>
            <w:r>
              <w:rPr>
                <w:sz w:val="15"/>
              </w:rPr>
              <w:t>Selected institutions do not represent every Nigerian student.</w:t>
            </w:r>
          </w:p>
        </w:tc>
      </w:tr>
    </w:tbl>
    <w:p/>
    <w:p>
      <w:pPr>
        <w:pStyle w:val="Heading2"/>
      </w:pPr>
      <w:r>
        <w:t>Research gap and defensible contribution</w:t>
      </w:r>
    </w:p>
    <w:p>
      <w:r>
        <w:t>Do not claim financial literacy or student money management has never been studied. A more defensible contribution is to design and evaluate an integrated multilingual tool connecting everyday student budgeting and micro-savings with practical learning and simulated investment, with special attention to irregular income.</w:t>
      </w:r>
    </w:p>
    <w:p>
      <w:pPr>
        <w:pStyle w:val="Heading2"/>
      </w:pPr>
      <w:r>
        <w:t>Validate before building too much</w:t>
      </w:r>
    </w:p>
    <w:p>
      <w:pPr>
        <w:pStyle w:val="ListBullet"/>
        <w:spacing w:after="20"/>
      </w:pPr>
      <w:r>
        <w:t>Interview 8–15 students from different institutions and income situations. Ask about the last time money ran short, not just whether they like the idea.</w:t>
      </w:r>
    </w:p>
    <w:p>
      <w:pPr>
        <w:pStyle w:val="ListBullet"/>
        <w:spacing w:after="20"/>
      </w:pPr>
      <w:r>
        <w:t>If feasible, survey 100–200 students as an initial needs assessment; this is a planning target, not a nationally representative sample.</w:t>
      </w:r>
    </w:p>
    <w:p>
      <w:pPr>
        <w:pStyle w:val="ListBullet"/>
        <w:spacing w:after="20"/>
      </w:pPr>
      <w:r>
        <w:t>Test a clickable mock-up with 5–8 students before building every screen.</w:t>
      </w:r>
    </w:p>
    <w:p>
      <w:pPr>
        <w:pStyle w:val="ListBullet"/>
        <w:spacing w:after="20"/>
      </w:pPr>
      <w:r>
        <w:t>Pilot with 20–40 students for 2–4 weeks and measure usage, clarity, trust and task completion.</w:t>
      </w:r>
    </w:p>
    <w:p>
      <w:pPr>
        <w:pStyle w:val="ListBullet"/>
        <w:spacing w:after="20"/>
      </w:pPr>
      <w:r>
        <w:t>Ask which language users prefer for interface navigation and which they prefer for financial explanations.</w:t>
      </w:r>
    </w:p>
    <w:p>
      <w:pPr>
        <w:pStyle w:val="Heading2"/>
      </w:pPr>
      <w:r>
        <w:t>Research questions</w:t>
      </w:r>
    </w:p>
    <w:p>
      <w:pPr>
        <w:pStyle w:val="ListBullet"/>
        <w:spacing w:after="20"/>
      </w:pPr>
      <w:r>
        <w:t>How often do students run out of money before the next income?</w:t>
      </w:r>
    </w:p>
    <w:p>
      <w:pPr>
        <w:pStyle w:val="ListBullet"/>
        <w:spacing w:after="20"/>
      </w:pPr>
      <w:r>
        <w:t>How predictable are income dates and amounts?</w:t>
      </w:r>
    </w:p>
    <w:p>
      <w:pPr>
        <w:pStyle w:val="ListBullet"/>
        <w:spacing w:after="20"/>
      </w:pPr>
      <w:r>
        <w:t>Which expenses are hardest to plan for?</w:t>
      </w:r>
    </w:p>
    <w:p>
      <w:pPr>
        <w:pStyle w:val="ListBullet"/>
        <w:spacing w:after="20"/>
      </w:pPr>
      <w:r>
        <w:t>How many track expenses, budget or save toward goals?</w:t>
      </w:r>
    </w:p>
    <w:p>
      <w:pPr>
        <w:pStyle w:val="ListBullet"/>
        <w:spacing w:after="20"/>
      </w:pPr>
      <w:r>
        <w:t>Does the runway planner help users understand their options?</w:t>
      </w:r>
    </w:p>
    <w:p>
      <w:pPr>
        <w:pStyle w:val="ListBullet"/>
        <w:spacing w:after="20"/>
      </w:pPr>
      <w:r>
        <w:t>Can users complete tasks in their selected language?</w:t>
      </w:r>
    </w:p>
    <w:p>
      <w:pPr>
        <w:pStyle w:val="ListBullet"/>
        <w:spacing w:after="20"/>
      </w:pPr>
      <w:r>
        <w:t>Do short lessons improve pre/post quiz scores?</w:t>
      </w:r>
    </w:p>
    <w:p>
      <w:pPr>
        <w:pStyle w:val="ListBullet"/>
        <w:spacing w:after="20"/>
      </w:pPr>
      <w:r>
        <w:t>Which feature brings users back after the first week?</w:t>
      </w:r>
    </w:p>
    <w:p>
      <w:pPr>
        <w:pStyle w:val="Heading1"/>
      </w:pPr>
      <w:r>
        <w:t>4. Differentiation and competitor strategy</w:t>
      </w:r>
    </w:p>
    <w:p>
      <w:pPr>
        <w:pStyle w:val="Heading2"/>
      </w:pPr>
      <w:r>
        <w:t>Positioning</w:t>
      </w:r>
    </w:p>
    <w:p>
      <w:r>
        <w:t>SBMS is a student-first financial companion built around making limited money last longer and making better financial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Differentiator</w:t>
            </w:r>
          </w:p>
        </w:tc>
        <w:tc>
          <w:tcPr>
            <w:tcW w:type="dxa" w:w="3360"/>
            <w:shd w:fill="12304A"/>
          </w:tcPr>
          <w:p>
            <w:r>
              <w:rPr>
                <w:b/>
                <w:color w:val="FFFFFF"/>
                <w:sz w:val="16"/>
              </w:rPr>
              <w:t>Why it matters</w:t>
            </w:r>
          </w:p>
        </w:tc>
        <w:tc>
          <w:tcPr>
            <w:tcW w:type="dxa" w:w="3360"/>
            <w:shd w:fill="12304A"/>
          </w:tcPr>
          <w:p>
            <w:r>
              <w:rPr>
                <w:b/>
                <w:color w:val="FFFFFF"/>
                <w:sz w:val="16"/>
              </w:rPr>
              <w:t>Easy first version</w:t>
            </w:r>
          </w:p>
        </w:tc>
      </w:tr>
      <w:tr>
        <w:tc>
          <w:tcPr>
            <w:tcW w:type="dxa" w:w="3360"/>
            <w:vAlign w:val="center"/>
          </w:tcPr>
          <w:p>
            <w:pPr>
              <w:spacing w:after="20"/>
            </w:pPr>
            <w:r>
              <w:rPr>
                <w:sz w:val="15"/>
              </w:rPr>
              <w:t>Money runway planner</w:t>
            </w:r>
          </w:p>
        </w:tc>
        <w:tc>
          <w:tcPr>
            <w:tcW w:type="dxa" w:w="3360"/>
            <w:vAlign w:val="center"/>
          </w:tcPr>
          <w:p>
            <w:pPr>
              <w:spacing w:after="20"/>
            </w:pPr>
            <w:r>
              <w:rPr>
                <w:sz w:val="15"/>
              </w:rPr>
              <w:t>Answers “how much can I use before more money comes?”</w:t>
            </w:r>
          </w:p>
        </w:tc>
        <w:tc>
          <w:tcPr>
            <w:tcW w:type="dxa" w:w="3360"/>
            <w:vAlign w:val="center"/>
          </w:tcPr>
          <w:p>
            <w:pPr>
              <w:spacing w:after="20"/>
            </w:pPr>
            <w:r>
              <w:rPr>
                <w:sz w:val="15"/>
              </w:rPr>
              <w:t>Use user-entered balance, essential commitments, buffer and planning days.</w:t>
            </w:r>
          </w:p>
        </w:tc>
      </w:tr>
      <w:tr>
        <w:tc>
          <w:tcPr>
            <w:tcW w:type="dxa" w:w="3360"/>
            <w:vAlign w:val="center"/>
            <w:shd w:fill="F1F5F8"/>
          </w:tcPr>
          <w:p>
            <w:pPr>
              <w:spacing w:after="20"/>
            </w:pPr>
            <w:r>
              <w:rPr>
                <w:sz w:val="15"/>
              </w:rPr>
              <w:t>Financial Survival Mode</w:t>
            </w:r>
          </w:p>
        </w:tc>
        <w:tc>
          <w:tcPr>
            <w:tcW w:type="dxa" w:w="3360"/>
            <w:vAlign w:val="center"/>
            <w:shd w:fill="F1F5F8"/>
          </w:tcPr>
          <w:p>
            <w:pPr>
              <w:spacing w:after="20"/>
            </w:pPr>
            <w:r>
              <w:rPr>
                <w:sz w:val="15"/>
              </w:rPr>
              <w:t>Offers a calm next step when the plan no longer works.</w:t>
            </w:r>
          </w:p>
        </w:tc>
        <w:tc>
          <w:tcPr>
            <w:tcW w:type="dxa" w:w="3360"/>
            <w:vAlign w:val="center"/>
            <w:shd w:fill="F1F5F8"/>
          </w:tcPr>
          <w:p>
            <w:pPr>
              <w:spacing w:after="20"/>
            </w:pPr>
            <w:r>
              <w:rPr>
                <w:sz w:val="15"/>
              </w:rPr>
              <w:t>Recalculate the plan and let users adjust flexible categories.</w:t>
            </w:r>
          </w:p>
        </w:tc>
      </w:tr>
      <w:tr>
        <w:tc>
          <w:tcPr>
            <w:tcW w:type="dxa" w:w="3360"/>
            <w:vAlign w:val="center"/>
          </w:tcPr>
          <w:p>
            <w:pPr>
              <w:spacing w:after="20"/>
            </w:pPr>
            <w:r>
              <w:rPr>
                <w:sz w:val="15"/>
              </w:rPr>
              <w:t>Irregular Income Mode</w:t>
            </w:r>
          </w:p>
        </w:tc>
        <w:tc>
          <w:tcPr>
            <w:tcW w:type="dxa" w:w="3360"/>
            <w:vAlign w:val="center"/>
          </w:tcPr>
          <w:p>
            <w:pPr>
              <w:spacing w:after="20"/>
            </w:pPr>
            <w:r>
              <w:rPr>
                <w:sz w:val="15"/>
              </w:rPr>
              <w:t>Does not assume a fixed monthly payday.</w:t>
            </w:r>
          </w:p>
        </w:tc>
        <w:tc>
          <w:tcPr>
            <w:tcW w:type="dxa" w:w="3360"/>
            <w:vAlign w:val="center"/>
          </w:tcPr>
          <w:p>
            <w:pPr>
              <w:spacing w:after="20"/>
            </w:pPr>
            <w:r>
              <w:rPr>
                <w:sz w:val="15"/>
              </w:rPr>
              <w:t>Let users record actual income and revise expected dates.</w:t>
            </w:r>
          </w:p>
        </w:tc>
      </w:tr>
      <w:tr>
        <w:tc>
          <w:tcPr>
            <w:tcW w:type="dxa" w:w="3360"/>
            <w:vAlign w:val="center"/>
            <w:shd w:fill="F1F5F8"/>
          </w:tcPr>
          <w:p>
            <w:pPr>
              <w:spacing w:after="20"/>
            </w:pPr>
            <w:r>
              <w:rPr>
                <w:sz w:val="15"/>
              </w:rPr>
              <w:t>Essentials-first micro-savings</w:t>
            </w:r>
          </w:p>
        </w:tc>
        <w:tc>
          <w:tcPr>
            <w:tcW w:type="dxa" w:w="3360"/>
            <w:vAlign w:val="center"/>
            <w:shd w:fill="F1F5F8"/>
          </w:tcPr>
          <w:p>
            <w:pPr>
              <w:spacing w:after="20"/>
            </w:pPr>
            <w:r>
              <w:rPr>
                <w:sz w:val="15"/>
              </w:rPr>
              <w:t>Encourages realistic progress without sacrificing necessities.</w:t>
            </w:r>
          </w:p>
        </w:tc>
        <w:tc>
          <w:tcPr>
            <w:tcW w:type="dxa" w:w="3360"/>
            <w:vAlign w:val="center"/>
            <w:shd w:fill="F1F5F8"/>
          </w:tcPr>
          <w:p>
            <w:pPr>
              <w:spacing w:after="20"/>
            </w:pPr>
            <w:r>
              <w:rPr>
                <w:sz w:val="15"/>
              </w:rPr>
              <w:t>Suggest contributions only after essential commitments are considered.</w:t>
            </w:r>
          </w:p>
        </w:tc>
      </w:tr>
      <w:tr>
        <w:tc>
          <w:tcPr>
            <w:tcW w:type="dxa" w:w="3360"/>
            <w:vAlign w:val="center"/>
          </w:tcPr>
          <w:p>
            <w:pPr>
              <w:spacing w:after="20"/>
            </w:pPr>
            <w:r>
              <w:rPr>
                <w:sz w:val="15"/>
              </w:rPr>
              <w:t>Five-language experience</w:t>
            </w:r>
          </w:p>
        </w:tc>
        <w:tc>
          <w:tcPr>
            <w:tcW w:type="dxa" w:w="3360"/>
            <w:vAlign w:val="center"/>
          </w:tcPr>
          <w:p>
            <w:pPr>
              <w:spacing w:after="20"/>
            </w:pPr>
            <w:r>
              <w:rPr>
                <w:sz w:val="15"/>
              </w:rPr>
              <w:t>Makes navigation and learning more accessible.</w:t>
            </w:r>
          </w:p>
        </w:tc>
        <w:tc>
          <w:tcPr>
            <w:tcW w:type="dxa" w:w="3360"/>
            <w:vAlign w:val="center"/>
          </w:tcPr>
          <w:p>
            <w:pPr>
              <w:spacing w:after="20"/>
            </w:pPr>
            <w:r>
              <w:rPr>
                <w:sz w:val="15"/>
              </w:rPr>
              <w:t>Localize critical flows first and review with fluent speakers.</w:t>
            </w:r>
          </w:p>
        </w:tc>
      </w:tr>
      <w:tr>
        <w:tc>
          <w:tcPr>
            <w:tcW w:type="dxa" w:w="3360"/>
            <w:vAlign w:val="center"/>
            <w:shd w:fill="F1F5F8"/>
          </w:tcPr>
          <w:p>
            <w:pPr>
              <w:spacing w:after="20"/>
            </w:pPr>
            <w:r>
              <w:rPr>
                <w:sz w:val="15"/>
              </w:rPr>
              <w:t>Decision simulator</w:t>
            </w:r>
          </w:p>
        </w:tc>
        <w:tc>
          <w:tcPr>
            <w:tcW w:type="dxa" w:w="3360"/>
            <w:vAlign w:val="center"/>
            <w:shd w:fill="F1F5F8"/>
          </w:tcPr>
          <w:p>
            <w:pPr>
              <w:spacing w:after="20"/>
            </w:pPr>
            <w:r>
              <w:rPr>
                <w:sz w:val="15"/>
              </w:rPr>
              <w:t>Allows safe practice with common student money scenarios.</w:t>
            </w:r>
          </w:p>
        </w:tc>
        <w:tc>
          <w:tcPr>
            <w:tcW w:type="dxa" w:w="3360"/>
            <w:vAlign w:val="center"/>
            <w:shd w:fill="F1F5F8"/>
          </w:tcPr>
          <w:p>
            <w:pPr>
              <w:spacing w:after="20"/>
            </w:pPr>
            <w:r>
              <w:rPr>
                <w:sz w:val="15"/>
              </w:rPr>
              <w:t>Scenario cards with fictional amounts and transparent trade-offs.</w:t>
            </w:r>
          </w:p>
        </w:tc>
      </w:tr>
      <w:tr>
        <w:tc>
          <w:tcPr>
            <w:tcW w:type="dxa" w:w="3360"/>
            <w:vAlign w:val="center"/>
          </w:tcPr>
          <w:p>
            <w:pPr>
              <w:spacing w:after="20"/>
            </w:pPr>
            <w:r>
              <w:rPr>
                <w:sz w:val="15"/>
              </w:rPr>
              <w:t>Supportive design</w:t>
            </w:r>
          </w:p>
        </w:tc>
        <w:tc>
          <w:tcPr>
            <w:tcW w:type="dxa" w:w="3360"/>
            <w:vAlign w:val="center"/>
          </w:tcPr>
          <w:p>
            <w:pPr>
              <w:spacing w:after="20"/>
            </w:pPr>
            <w:r>
              <w:rPr>
                <w:sz w:val="15"/>
              </w:rPr>
              <w:t>Builds trust when users are struggling.</w:t>
            </w:r>
          </w:p>
        </w:tc>
        <w:tc>
          <w:tcPr>
            <w:tcW w:type="dxa" w:w="3360"/>
            <w:vAlign w:val="center"/>
          </w:tcPr>
          <w:p>
            <w:pPr>
              <w:spacing w:after="20"/>
            </w:pPr>
            <w:r>
              <w:rPr>
                <w:sz w:val="15"/>
              </w:rPr>
              <w:t>Neutral alerts, no guilt messages or public wealth rankings.</w:t>
            </w:r>
          </w:p>
        </w:tc>
      </w:tr>
    </w:tbl>
    <w:p/>
    <w:p>
      <w:pPr>
        <w:pStyle w:val="Heading2"/>
      </w:pPr>
      <w:r>
        <w:t>Competitor audit: how to stand out honestly</w:t>
      </w:r>
    </w:p>
    <w:p>
      <w:r>
        <w:t>Do not market SBMS as “the first” or “the only” unless a documented competitor audit proves it. Similar apps may already have budgets, savings goals or lessons. Differentiate through the specific student cash-flow workflow, quality and evidence from testing.</w:t>
      </w:r>
    </w:p>
    <w:p>
      <w:pPr>
        <w:pStyle w:val="ListBullet"/>
        <w:spacing w:after="20"/>
      </w:pPr>
      <w:r>
        <w:t>Review 5–8 budgeting apps, savings apps, student finance tools and financial-literacy platforms.</w:t>
      </w:r>
    </w:p>
    <w:p>
      <w:pPr>
        <w:pStyle w:val="ListBullet"/>
        <w:spacing w:after="20"/>
      </w:pPr>
      <w:r>
        <w:t>Compare onboarding friction, languages, manual expense entry, irregular-income support, low-balance help, privacy, fees and offline behaviour.</w:t>
      </w:r>
    </w:p>
    <w:p>
      <w:pPr>
        <w:pStyle w:val="ListBullet"/>
        <w:spacing w:after="20"/>
      </w:pPr>
      <w:r>
        <w:t>Use the same test scenario across products: “I have ₦8,000, need food and transport for six days, and do not know exactly when my next allowance will arrive.”</w:t>
      </w:r>
    </w:p>
    <w:p>
      <w:pPr>
        <w:pStyle w:val="ListBullet"/>
        <w:spacing w:after="20"/>
      </w:pPr>
      <w:r>
        <w:t>Compare task time, comprehension and trust, not just the number of features.</w:t>
      </w:r>
    </w:p>
    <w:p>
      <w:pPr>
        <w:pStyle w:val="ListBullet"/>
        <w:spacing w:after="20"/>
      </w:pPr>
      <w:r>
        <w:t>Repeat the audit before launch because products change.</w:t>
      </w:r>
    </w:p>
    <w:p>
      <w:pPr>
        <w:pStyle w:val="Heading1"/>
      </w:pPr>
      <w:r>
        <w:t>5. MVP and feature roadmap</w:t>
      </w:r>
    </w:p>
    <w:p>
      <w:pPr>
        <w:pStyle w:val="Heading2"/>
      </w:pPr>
      <w:r>
        <w:t>MVP: build these first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Priority</w:t>
            </w:r>
          </w:p>
        </w:tc>
        <w:tc>
          <w:tcPr>
            <w:tcW w:type="dxa" w:w="3360"/>
            <w:shd w:fill="12304A"/>
          </w:tcPr>
          <w:p>
            <w:r>
              <w:rPr>
                <w:b/>
                <w:color w:val="FFFFFF"/>
                <w:sz w:val="16"/>
              </w:rPr>
              <w:t>Feature</w:t>
            </w:r>
          </w:p>
        </w:tc>
        <w:tc>
          <w:tcPr>
            <w:tcW w:type="dxa" w:w="3360"/>
            <w:shd w:fill="12304A"/>
          </w:tcPr>
          <w:p>
            <w:r>
              <w:rPr>
                <w:b/>
                <w:color w:val="FFFFFF"/>
                <w:sz w:val="16"/>
              </w:rPr>
              <w:t>Scope</w:t>
            </w:r>
          </w:p>
        </w:tc>
      </w:tr>
      <w:tr>
        <w:tc>
          <w:tcPr>
            <w:tcW w:type="dxa" w:w="3360"/>
            <w:vAlign w:val="center"/>
          </w:tcPr>
          <w:p>
            <w:pPr>
              <w:spacing w:after="20"/>
            </w:pPr>
            <w:r>
              <w:rPr>
                <w:sz w:val="15"/>
              </w:rPr>
              <w:t>P0</w:t>
            </w:r>
          </w:p>
        </w:tc>
        <w:tc>
          <w:tcPr>
            <w:tcW w:type="dxa" w:w="3360"/>
            <w:vAlign w:val="center"/>
          </w:tcPr>
          <w:p>
            <w:pPr>
              <w:spacing w:after="20"/>
            </w:pPr>
            <w:r>
              <w:rPr>
                <w:sz w:val="15"/>
              </w:rPr>
              <w:t>Onboarding and preferences</w:t>
            </w:r>
          </w:p>
        </w:tc>
        <w:tc>
          <w:tcPr>
            <w:tcW w:type="dxa" w:w="3360"/>
            <w:vAlign w:val="center"/>
          </w:tcPr>
          <w:p>
            <w:pPr>
              <w:spacing w:after="20"/>
            </w:pPr>
            <w:r>
              <w:rPr>
                <w:sz w:val="15"/>
              </w:rPr>
              <w:t>Choose language; set NGN; enter starting balance and optional next-income date.</w:t>
            </w:r>
          </w:p>
        </w:tc>
      </w:tr>
      <w:tr>
        <w:tc>
          <w:tcPr>
            <w:tcW w:type="dxa" w:w="3360"/>
            <w:vAlign w:val="center"/>
            <w:shd w:fill="F1F5F8"/>
          </w:tcPr>
          <w:p>
            <w:pPr>
              <w:spacing w:after="20"/>
            </w:pPr>
            <w:r>
              <w:rPr>
                <w:sz w:val="15"/>
              </w:rPr>
              <w:t>P0</w:t>
            </w:r>
          </w:p>
        </w:tc>
        <w:tc>
          <w:tcPr>
            <w:tcW w:type="dxa" w:w="3360"/>
            <w:vAlign w:val="center"/>
            <w:shd w:fill="F1F5F8"/>
          </w:tcPr>
          <w:p>
            <w:pPr>
              <w:spacing w:after="20"/>
            </w:pPr>
            <w:r>
              <w:rPr>
                <w:sz w:val="15"/>
              </w:rPr>
              <w:t>Income/expense log</w:t>
            </w:r>
          </w:p>
        </w:tc>
        <w:tc>
          <w:tcPr>
            <w:tcW w:type="dxa" w:w="3360"/>
            <w:vAlign w:val="center"/>
            <w:shd w:fill="F1F5F8"/>
          </w:tcPr>
          <w:p>
            <w:pPr>
              <w:spacing w:after="20"/>
            </w:pPr>
            <w:r>
              <w:rPr>
                <w:sz w:val="15"/>
              </w:rPr>
              <w:t>Manual add/edit/delete, amount, date, category, optional note and history.</w:t>
            </w:r>
          </w:p>
        </w:tc>
      </w:tr>
      <w:tr>
        <w:tc>
          <w:tcPr>
            <w:tcW w:type="dxa" w:w="3360"/>
            <w:vAlign w:val="center"/>
          </w:tcPr>
          <w:p>
            <w:pPr>
              <w:spacing w:after="20"/>
            </w:pPr>
            <w:r>
              <w:rPr>
                <w:sz w:val="15"/>
              </w:rPr>
              <w:t>P0</w:t>
            </w:r>
          </w:p>
        </w:tc>
        <w:tc>
          <w:tcPr>
            <w:tcW w:type="dxa" w:w="3360"/>
            <w:vAlign w:val="center"/>
          </w:tcPr>
          <w:p>
            <w:pPr>
              <w:spacing w:after="20"/>
            </w:pPr>
            <w:r>
              <w:rPr>
                <w:sz w:val="15"/>
              </w:rPr>
              <w:t>Simple budget</w:t>
            </w:r>
          </w:p>
        </w:tc>
        <w:tc>
          <w:tcPr>
            <w:tcW w:type="dxa" w:w="3360"/>
            <w:vAlign w:val="center"/>
          </w:tcPr>
          <w:p>
            <w:pPr>
              <w:spacing w:after="20"/>
            </w:pPr>
            <w:r>
              <w:rPr>
                <w:sz w:val="15"/>
              </w:rPr>
              <w:t>Category limits, amount spent and remaining.</w:t>
            </w:r>
          </w:p>
        </w:tc>
      </w:tr>
      <w:tr>
        <w:tc>
          <w:tcPr>
            <w:tcW w:type="dxa" w:w="3360"/>
            <w:vAlign w:val="center"/>
            <w:shd w:fill="F1F5F8"/>
          </w:tcPr>
          <w:p>
            <w:pPr>
              <w:spacing w:after="20"/>
            </w:pPr>
            <w:r>
              <w:rPr>
                <w:sz w:val="15"/>
              </w:rPr>
              <w:t>P0</w:t>
            </w:r>
          </w:p>
        </w:tc>
        <w:tc>
          <w:tcPr>
            <w:tcW w:type="dxa" w:w="3360"/>
            <w:vAlign w:val="center"/>
            <w:shd w:fill="F1F5F8"/>
          </w:tcPr>
          <w:p>
            <w:pPr>
              <w:spacing w:after="20"/>
            </w:pPr>
            <w:r>
              <w:rPr>
                <w:sz w:val="15"/>
              </w:rPr>
              <w:t>Money runway / daily guide</w:t>
            </w:r>
          </w:p>
        </w:tc>
        <w:tc>
          <w:tcPr>
            <w:tcW w:type="dxa" w:w="3360"/>
            <w:vAlign w:val="center"/>
            <w:shd w:fill="F1F5F8"/>
          </w:tcPr>
          <w:p>
            <w:pPr>
              <w:spacing w:after="20"/>
            </w:pPr>
            <w:r>
              <w:rPr>
                <w:sz w:val="15"/>
              </w:rPr>
              <w:t>Calculate flexible amount across planning days after protected costs.</w:t>
            </w:r>
          </w:p>
        </w:tc>
      </w:tr>
      <w:tr>
        <w:tc>
          <w:tcPr>
            <w:tcW w:type="dxa" w:w="3360"/>
            <w:vAlign w:val="center"/>
          </w:tcPr>
          <w:p>
            <w:pPr>
              <w:spacing w:after="20"/>
            </w:pPr>
            <w:r>
              <w:rPr>
                <w:sz w:val="15"/>
              </w:rPr>
              <w:t>P0</w:t>
            </w:r>
          </w:p>
        </w:tc>
        <w:tc>
          <w:tcPr>
            <w:tcW w:type="dxa" w:w="3360"/>
            <w:vAlign w:val="center"/>
          </w:tcPr>
          <w:p>
            <w:pPr>
              <w:spacing w:after="20"/>
            </w:pPr>
            <w:r>
              <w:rPr>
                <w:sz w:val="15"/>
              </w:rPr>
              <w:t>Irregular-income updates</w:t>
            </w:r>
          </w:p>
        </w:tc>
        <w:tc>
          <w:tcPr>
            <w:tcW w:type="dxa" w:w="3360"/>
            <w:vAlign w:val="center"/>
          </w:tcPr>
          <w:p>
            <w:pPr>
              <w:spacing w:after="20"/>
            </w:pPr>
            <w:r>
              <w:rPr>
                <w:sz w:val="15"/>
              </w:rPr>
              <w:t>Record unexpected or delayed income and recalculate.</w:t>
            </w:r>
          </w:p>
        </w:tc>
      </w:tr>
      <w:tr>
        <w:tc>
          <w:tcPr>
            <w:tcW w:type="dxa" w:w="3360"/>
            <w:vAlign w:val="center"/>
            <w:shd w:fill="F1F5F8"/>
          </w:tcPr>
          <w:p>
            <w:pPr>
              <w:spacing w:after="20"/>
            </w:pPr>
            <w:r>
              <w:rPr>
                <w:sz w:val="15"/>
              </w:rPr>
              <w:t>P0</w:t>
            </w:r>
          </w:p>
        </w:tc>
        <w:tc>
          <w:tcPr>
            <w:tcW w:type="dxa" w:w="3360"/>
            <w:vAlign w:val="center"/>
            <w:shd w:fill="F1F5F8"/>
          </w:tcPr>
          <w:p>
            <w:pPr>
              <w:spacing w:after="20"/>
            </w:pPr>
            <w:r>
              <w:rPr>
                <w:sz w:val="15"/>
              </w:rPr>
              <w:t>Savings goals</w:t>
            </w:r>
          </w:p>
        </w:tc>
        <w:tc>
          <w:tcPr>
            <w:tcW w:type="dxa" w:w="3360"/>
            <w:vAlign w:val="center"/>
            <w:shd w:fill="F1F5F8"/>
          </w:tcPr>
          <w:p>
            <w:pPr>
              <w:spacing w:after="20"/>
            </w:pPr>
            <w:r>
              <w:rPr>
                <w:sz w:val="15"/>
              </w:rPr>
              <w:t>Goal, target date, manual contributions and progress; no money transfer implied.</w:t>
            </w:r>
          </w:p>
        </w:tc>
      </w:tr>
      <w:tr>
        <w:tc>
          <w:tcPr>
            <w:tcW w:type="dxa" w:w="3360"/>
            <w:vAlign w:val="center"/>
          </w:tcPr>
          <w:p>
            <w:pPr>
              <w:spacing w:after="20"/>
            </w:pPr>
            <w:r>
              <w:rPr>
                <w:sz w:val="15"/>
              </w:rPr>
              <w:t>P0</w:t>
            </w:r>
          </w:p>
        </w:tc>
        <w:tc>
          <w:tcPr>
            <w:tcW w:type="dxa" w:w="3360"/>
            <w:vAlign w:val="center"/>
          </w:tcPr>
          <w:p>
            <w:pPr>
              <w:spacing w:after="20"/>
            </w:pPr>
            <w:r>
              <w:rPr>
                <w:sz w:val="15"/>
              </w:rPr>
              <w:t>Basic insights</w:t>
            </w:r>
          </w:p>
        </w:tc>
        <w:tc>
          <w:tcPr>
            <w:tcW w:type="dxa" w:w="3360"/>
            <w:vAlign w:val="center"/>
          </w:tcPr>
          <w:p>
            <w:pPr>
              <w:spacing w:after="20"/>
            </w:pPr>
            <w:r>
              <w:rPr>
                <w:sz w:val="15"/>
              </w:rPr>
              <w:t>Category totals, user-set budget alerts and weekly summary.</w:t>
            </w:r>
          </w:p>
        </w:tc>
      </w:tr>
      <w:tr>
        <w:tc>
          <w:tcPr>
            <w:tcW w:type="dxa" w:w="3360"/>
            <w:vAlign w:val="center"/>
            <w:shd w:fill="F1F5F8"/>
          </w:tcPr>
          <w:p>
            <w:pPr>
              <w:spacing w:after="20"/>
            </w:pPr>
            <w:r>
              <w:rPr>
                <w:sz w:val="15"/>
              </w:rPr>
              <w:t>P0</w:t>
            </w:r>
          </w:p>
        </w:tc>
        <w:tc>
          <w:tcPr>
            <w:tcW w:type="dxa" w:w="3360"/>
            <w:vAlign w:val="center"/>
            <w:shd w:fill="F1F5F8"/>
          </w:tcPr>
          <w:p>
            <w:pPr>
              <w:spacing w:after="20"/>
            </w:pPr>
            <w:r>
              <w:rPr>
                <w:sz w:val="15"/>
              </w:rPr>
              <w:t>Five-language critical flows</w:t>
            </w:r>
          </w:p>
        </w:tc>
        <w:tc>
          <w:tcPr>
            <w:tcW w:type="dxa" w:w="3360"/>
            <w:vAlign w:val="center"/>
            <w:shd w:fill="F1F5F8"/>
          </w:tcPr>
          <w:p>
            <w:pPr>
              <w:spacing w:after="20"/>
            </w:pPr>
            <w:r>
              <w:rPr>
                <w:sz w:val="15"/>
              </w:rPr>
              <w:t>English, Yoruba, Nigerian Pidgin, Igbo and Hausa for core tasks.</w:t>
            </w:r>
          </w:p>
        </w:tc>
      </w:tr>
      <w:tr>
        <w:tc>
          <w:tcPr>
            <w:tcW w:type="dxa" w:w="3360"/>
            <w:vAlign w:val="center"/>
          </w:tcPr>
          <w:p>
            <w:pPr>
              <w:spacing w:after="20"/>
            </w:pPr>
            <w:r>
              <w:rPr>
                <w:sz w:val="15"/>
              </w:rPr>
              <w:t>P0</w:t>
            </w:r>
          </w:p>
        </w:tc>
        <w:tc>
          <w:tcPr>
            <w:tcW w:type="dxa" w:w="3360"/>
            <w:vAlign w:val="center"/>
          </w:tcPr>
          <w:p>
            <w:pPr>
              <w:spacing w:after="20"/>
            </w:pPr>
            <w:r>
              <w:rPr>
                <w:sz w:val="15"/>
              </w:rPr>
              <w:t>Privacy and data controls</w:t>
            </w:r>
          </w:p>
        </w:tc>
        <w:tc>
          <w:tcPr>
            <w:tcW w:type="dxa" w:w="3360"/>
            <w:vAlign w:val="center"/>
          </w:tcPr>
          <w:p>
            <w:pPr>
              <w:spacing w:after="20"/>
            </w:pPr>
            <w:r>
              <w:rPr>
                <w:sz w:val="15"/>
              </w:rPr>
              <w:t>Clear notice, secure access, and export/delete options as applicable.</w:t>
            </w:r>
          </w:p>
        </w:tc>
      </w:tr>
      <w:tr>
        <w:tc>
          <w:tcPr>
            <w:tcW w:type="dxa" w:w="3360"/>
            <w:vAlign w:val="center"/>
            <w:shd w:fill="F1F5F8"/>
          </w:tcPr>
          <w:p>
            <w:pPr>
              <w:spacing w:after="20"/>
            </w:pPr>
            <w:r>
              <w:rPr>
                <w:sz w:val="15"/>
              </w:rPr>
              <w:t>P1</w:t>
            </w:r>
          </w:p>
        </w:tc>
        <w:tc>
          <w:tcPr>
            <w:tcW w:type="dxa" w:w="3360"/>
            <w:vAlign w:val="center"/>
            <w:shd w:fill="F1F5F8"/>
          </w:tcPr>
          <w:p>
            <w:pPr>
              <w:spacing w:after="20"/>
            </w:pPr>
            <w:r>
              <w:rPr>
                <w:sz w:val="15"/>
              </w:rPr>
              <w:t>Short lessons and quiz</w:t>
            </w:r>
          </w:p>
        </w:tc>
        <w:tc>
          <w:tcPr>
            <w:tcW w:type="dxa" w:w="3360"/>
            <w:vAlign w:val="center"/>
            <w:shd w:fill="F1F5F8"/>
          </w:tcPr>
          <w:p>
            <w:pPr>
              <w:spacing w:after="20"/>
            </w:pPr>
            <w:r>
              <w:rPr>
                <w:sz w:val="15"/>
              </w:rPr>
              <w:t>Budgeting, saving, emergency funds, inflation, risk and diversification.</w:t>
            </w:r>
          </w:p>
        </w:tc>
      </w:tr>
      <w:tr>
        <w:tc>
          <w:tcPr>
            <w:tcW w:type="dxa" w:w="3360"/>
            <w:vAlign w:val="center"/>
          </w:tcPr>
          <w:p>
            <w:pPr>
              <w:spacing w:after="20"/>
            </w:pPr>
            <w:r>
              <w:rPr>
                <w:sz w:val="15"/>
              </w:rPr>
              <w:t>P1</w:t>
            </w:r>
          </w:p>
        </w:tc>
        <w:tc>
          <w:tcPr>
            <w:tcW w:type="dxa" w:w="3360"/>
            <w:vAlign w:val="center"/>
          </w:tcPr>
          <w:p>
            <w:pPr>
              <w:spacing w:after="20"/>
            </w:pPr>
            <w:r>
              <w:rPr>
                <w:sz w:val="15"/>
              </w:rPr>
              <w:t>Virtual investment simulator</w:t>
            </w:r>
          </w:p>
        </w:tc>
        <w:tc>
          <w:tcPr>
            <w:tcW w:type="dxa" w:w="3360"/>
            <w:vAlign w:val="center"/>
          </w:tcPr>
          <w:p>
            <w:pPr>
              <w:spacing w:after="20"/>
            </w:pPr>
            <w:r>
              <w:rPr>
                <w:sz w:val="15"/>
              </w:rPr>
              <w:t>Fictional funds, hypothetical outcomes and loss/risk explanations.</w:t>
            </w:r>
          </w:p>
        </w:tc>
      </w:tr>
      <w:tr>
        <w:tc>
          <w:tcPr>
            <w:tcW w:type="dxa" w:w="3360"/>
            <w:vAlign w:val="center"/>
            <w:shd w:fill="F1F5F8"/>
          </w:tcPr>
          <w:p>
            <w:pPr>
              <w:spacing w:after="20"/>
            </w:pPr>
            <w:r>
              <w:rPr>
                <w:sz w:val="15"/>
              </w:rPr>
              <w:t>P2</w:t>
            </w:r>
          </w:p>
        </w:tc>
        <w:tc>
          <w:tcPr>
            <w:tcW w:type="dxa" w:w="3360"/>
            <w:vAlign w:val="center"/>
            <w:shd w:fill="F1F5F8"/>
          </w:tcPr>
          <w:p>
            <w:pPr>
              <w:spacing w:after="20"/>
            </w:pPr>
            <w:r>
              <w:rPr>
                <w:sz w:val="15"/>
              </w:rPr>
              <w:t>Rules-based insights</w:t>
            </w:r>
          </w:p>
        </w:tc>
        <w:tc>
          <w:tcPr>
            <w:tcW w:type="dxa" w:w="3360"/>
            <w:vAlign w:val="center"/>
            <w:shd w:fill="F1F5F8"/>
          </w:tcPr>
          <w:p>
            <w:pPr>
              <w:spacing w:after="20"/>
            </w:pPr>
            <w:r>
              <w:rPr>
                <w:sz w:val="15"/>
              </w:rPr>
              <w:t>Simple observations based on recorded transactions.</w:t>
            </w:r>
          </w:p>
        </w:tc>
      </w:tr>
      <w:tr>
        <w:tc>
          <w:tcPr>
            <w:tcW w:type="dxa" w:w="3360"/>
            <w:vAlign w:val="center"/>
          </w:tcPr>
          <w:p>
            <w:pPr>
              <w:spacing w:after="20"/>
            </w:pPr>
            <w:r>
              <w:rPr>
                <w:sz w:val="15"/>
              </w:rPr>
              <w:t>P2</w:t>
            </w:r>
          </w:p>
        </w:tc>
        <w:tc>
          <w:tcPr>
            <w:tcW w:type="dxa" w:w="3360"/>
            <w:vAlign w:val="center"/>
          </w:tcPr>
          <w:p>
            <w:pPr>
              <w:spacing w:after="20"/>
            </w:pPr>
            <w:r>
              <w:rPr>
                <w:sz w:val="15"/>
              </w:rPr>
              <w:t>Expense split helper</w:t>
            </w:r>
          </w:p>
        </w:tc>
        <w:tc>
          <w:tcPr>
            <w:tcW w:type="dxa" w:w="3360"/>
            <w:vAlign w:val="center"/>
          </w:tcPr>
          <w:p>
            <w:pPr>
              <w:spacing w:after="20"/>
            </w:pPr>
            <w:r>
              <w:rPr>
                <w:sz w:val="15"/>
              </w:rPr>
              <w:t>Calculate shares; no pooled funds.</w:t>
            </w:r>
          </w:p>
        </w:tc>
      </w:tr>
    </w:tbl>
    <w:p/>
    <w:p>
      <w:pPr>
        <w:pStyle w:val="Heading2"/>
      </w:pPr>
      <w:r>
        <w:t>Build later only if evidence supports it</w:t>
      </w:r>
    </w:p>
    <w:p>
      <w:pPr>
        <w:pStyle w:val="ListBullet"/>
        <w:spacing w:after="20"/>
      </w:pPr>
      <w:r>
        <w:t>AI spending coach: only after data quality is reliable; show which recorded numbers support each suggestion.</w:t>
      </w:r>
    </w:p>
    <w:p>
      <w:pPr>
        <w:pStyle w:val="ListBullet"/>
        <w:spacing w:after="20"/>
      </w:pPr>
      <w:r>
        <w:t>Financial wellness score: avoid wealth-based scoring and shame; explain the calculation and validate usefulness before launch.</w:t>
      </w:r>
    </w:p>
    <w:p>
      <w:pPr>
        <w:pStyle w:val="ListBullet"/>
        <w:spacing w:after="20"/>
      </w:pPr>
      <w:r>
        <w:t>Student deals: only with verified partners and clear terms/expiry dates.</w:t>
      </w:r>
    </w:p>
    <w:p>
      <w:pPr>
        <w:pStyle w:val="ListBullet"/>
        <w:spacing w:after="20"/>
      </w:pPr>
      <w:r>
        <w:t>Group savings circles: start with coordination/tracking only; no custody or pooling without professional review.</w:t>
      </w:r>
    </w:p>
    <w:p>
      <w:pPr>
        <w:pStyle w:val="ListBullet"/>
        <w:spacing w:after="20"/>
      </w:pPr>
      <w:r>
        <w:t>Bank integrations, auto transfers and real investments: only after user demand, secure partners and regulatory review.</w:t>
      </w:r>
    </w:p>
    <w:p>
      <w:pPr>
        <w:pStyle w:val="Heading2"/>
      </w:pPr>
      <w:r>
        <w:t>Deliberately postpone</w:t>
      </w:r>
    </w:p>
    <w:p>
      <w:r>
        <w:t>Complex AI, live stock prices, real-money investment, peer-to-peer transfers, open banking, large social features, and reward systems with financial liabilities. These are expensive distractions until SBMS proves students repeatedly use the core planner.</w:t>
      </w:r>
    </w:p>
    <w:p>
      <w:pPr>
        <w:pStyle w:val="Heading1"/>
      </w:pPr>
      <w:r>
        <w:t>6. Signature feature logic</w:t>
      </w:r>
    </w:p>
    <w:p>
      <w:pPr>
        <w:pStyle w:val="Heading2"/>
      </w:pPr>
      <w:r>
        <w:t>6.1 Money runway planner</w:t>
      </w:r>
    </w:p>
    <w:p>
      <w:r>
        <w:t>Inputs: current available money; essential commitments; known essential expenses still due; number of days to plan for; optional safety buffer; and flexible categories.</w:t>
      </w:r>
    </w:p>
    <w:p>
      <w:r>
        <w:t>Suggested formula: flexible money = current available money − protected essential commitments − known essential expenses still due − safety buffer. Suggested daily guide = flexible money ÷ remaining planning days. If flexible money is zero or negative, do not show a positive daily limit. Explain that the current plan does not cover the listed commitments and let the user review assumptions.</w:t>
      </w:r>
    </w:p>
    <w:p>
      <w:r>
        <w:t>Illustration only: a user has ₦30,000, protects ₦20,000 for essential commitments and ₦4,000 as a buffer. ₦6,000 remains for 15 days, giving a guide of ₦400/day. This is an estimate based only on entered information, not a guarantee.</w:t>
      </w:r>
    </w:p>
    <w:p>
      <w:pPr>
        <w:pStyle w:val="Heading2"/>
      </w:pPr>
      <w:r>
        <w:t>6.2 Financial Survival Mode</w:t>
      </w:r>
    </w:p>
    <w:p>
      <w:pPr>
        <w:pStyle w:val="ListBullet"/>
        <w:spacing w:after="20"/>
      </w:pPr>
      <w:r>
        <w:t>Explain what changed: a new expense, lower balance, delayed income or overspent category.</w:t>
      </w:r>
    </w:p>
    <w:p>
      <w:pPr>
        <w:pStyle w:val="ListBullet"/>
        <w:spacing w:after="20"/>
      </w:pPr>
      <w:r>
        <w:t>Recalculate the runway and show adjustable scenarios such as reviewing a discretionary category or changing the planning horizon.</w:t>
      </w:r>
    </w:p>
    <w:p>
      <w:pPr>
        <w:pStyle w:val="ListBullet"/>
        <w:spacing w:after="20"/>
      </w:pPr>
      <w:r>
        <w:t>Never recommend skipping meals, necessary medication, safe accommodation or other essentials.</w:t>
      </w:r>
    </w:p>
    <w:p>
      <w:pPr>
        <w:pStyle w:val="ListBullet"/>
        <w:spacing w:after="20"/>
      </w:pPr>
      <w:r>
        <w:t>Do not assume extra work or family support is available.</w:t>
      </w:r>
    </w:p>
    <w:p>
      <w:pPr>
        <w:pStyle w:val="ListBullet"/>
        <w:spacing w:after="20"/>
      </w:pPr>
      <w:r>
        <w:t>Use language like “Your current plan may run short,” not “You failed your budget.”</w:t>
      </w:r>
    </w:p>
    <w:p>
      <w:pPr>
        <w:pStyle w:val="ListBullet"/>
        <w:spacing w:after="20"/>
      </w:pPr>
      <w:r>
        <w:t>Let users mark expenses fixed, flexible or uncertain.</w:t>
      </w:r>
    </w:p>
    <w:p>
      <w:pPr>
        <w:pStyle w:val="Heading2"/>
      </w:pPr>
      <w:r>
        <w:t>6.3 Irregular Income Mode</w:t>
      </w:r>
    </w:p>
    <w:p>
      <w:pPr>
        <w:pStyle w:val="ListBullet"/>
        <w:spacing w:after="20"/>
      </w:pPr>
      <w:r>
        <w:t>Support multiple sources marked regular, variable or one-off.</w:t>
      </w:r>
    </w:p>
    <w:p>
      <w:pPr>
        <w:pStyle w:val="ListBullet"/>
        <w:spacing w:after="20"/>
      </w:pPr>
      <w:r>
        <w:t>Let users record actual income and update the expected date without penalty.</w:t>
      </w:r>
    </w:p>
    <w:p>
      <w:pPr>
        <w:pStyle w:val="ListBullet"/>
        <w:spacing w:after="20"/>
      </w:pPr>
      <w:r>
        <w:t>Do not treat predicted income as money already available.</w:t>
      </w:r>
    </w:p>
    <w:p>
      <w:pPr>
        <w:pStyle w:val="ListBullet"/>
        <w:spacing w:after="20"/>
      </w:pPr>
      <w:r>
        <w:t>If the expected date passes, ask whether the user wants to update the plan rather than repeatedly showing stale dates.</w:t>
      </w:r>
    </w:p>
    <w:p>
      <w:pPr>
        <w:pStyle w:val="Heading2"/>
      </w:pPr>
      <w:r>
        <w:t>6.4 Micro-savings</w:t>
      </w:r>
    </w:p>
    <w:p>
      <w:pPr>
        <w:pStyle w:val="ListBullet"/>
        <w:spacing w:after="20"/>
      </w:pPr>
      <w:r>
        <w:t>Let users set a goal, amount and deadline, then log contributions manually.</w:t>
      </w:r>
    </w:p>
    <w:p>
      <w:pPr>
        <w:pStyle w:val="ListBullet"/>
        <w:spacing w:after="20"/>
      </w:pPr>
      <w:r>
        <w:t>Calculate suggested weekly/monthly contributions from the remaining target and time.</w:t>
      </w:r>
    </w:p>
    <w:p>
      <w:pPr>
        <w:pStyle w:val="ListBullet"/>
        <w:spacing w:after="20"/>
      </w:pPr>
      <w:r>
        <w:t>Warn if a suggested contribution conflicts with essentials.</w:t>
      </w:r>
    </w:p>
    <w:p>
      <w:pPr>
        <w:pStyle w:val="ListBullet"/>
        <w:spacing w:after="20"/>
      </w:pPr>
      <w:r>
        <w:t>Allow pausing or reducing a goal without shame.</w:t>
      </w:r>
    </w:p>
    <w:p>
      <w:pPr>
        <w:pStyle w:val="ListBullet"/>
        <w:spacing w:after="20"/>
      </w:pPr>
      <w:r>
        <w:t>State clearly that an in-app goal tracker does not itself move or hold money.</w:t>
      </w:r>
    </w:p>
    <w:p>
      <w:pPr>
        <w:pStyle w:val="Heading2"/>
      </w:pPr>
      <w:r>
        <w:t>6.5 Decision simulator and insights</w:t>
      </w:r>
    </w:p>
    <w:p>
      <w:r>
        <w:t>Start with scenario cards rather than a sophisticated market engine: allowance delayed; required course material due; charger breaks; friends invite the user to overspend; transport costs rise; or a fictional investment scenario. Explain trade-offs after each choice, show possible loss as well as gain, and clearly label all outcomes hypothetical.</w:t>
      </w:r>
    </w:p>
    <w:p>
      <w:r>
        <w:t>Start insights with transparent rules, not AI: “Transport is ₦1,200 above the limit you set this week.” State the period/category and remember that unrecorded cash expenses are unknown to the app.</w:t>
      </w:r>
    </w:p>
    <w:p>
      <w:pPr>
        <w:pStyle w:val="Heading1"/>
      </w:pPr>
      <w:r>
        <w:t>7. UX and screen plan</w:t>
      </w:r>
    </w:p>
    <w:p>
      <w:pPr>
        <w:pStyle w:val="Heading2"/>
      </w:pPr>
      <w:r>
        <w:t>First-session journey</w:t>
      </w:r>
    </w:p>
    <w:p>
      <w:pPr>
        <w:pStyle w:val="ListNumber"/>
        <w:spacing w:after="20"/>
      </w:pPr>
      <w:r>
        <w:t>Welcome screen explains the promise in one sentence.</w:t>
      </w:r>
    </w:p>
    <w:p>
      <w:pPr>
        <w:pStyle w:val="ListNumber"/>
        <w:spacing w:after="20"/>
      </w:pPr>
      <w:r>
        <w:t>Choose English, Yoruba, Nigerian Pidgin, Igbo or Hausa; allow changing later.</w:t>
      </w:r>
    </w:p>
    <w:p>
      <w:pPr>
        <w:pStyle w:val="ListNumber"/>
        <w:spacing w:after="20"/>
      </w:pPr>
      <w:r>
        <w:t>Offer “Plan my money” and “Explore a demo” so users can try without a long profile.</w:t>
      </w:r>
    </w:p>
    <w:p>
      <w:pPr>
        <w:pStyle w:val="ListNumber"/>
        <w:spacing w:after="20"/>
      </w:pPr>
      <w:r>
        <w:t>Enter starting balance, essential commitments and expected next income date if known.</w:t>
      </w:r>
    </w:p>
    <w:p>
      <w:pPr>
        <w:pStyle w:val="ListNumber"/>
        <w:spacing w:after="20"/>
      </w:pPr>
      <w:r>
        <w:t>Show the runway result and allow the user to edit assumptions.</w:t>
      </w:r>
    </w:p>
    <w:p>
      <w:pPr>
        <w:pStyle w:val="ListNumber"/>
        <w:spacing w:after="20"/>
      </w:pPr>
      <w:r>
        <w:t>Add the first expense or create a small savings goal.</w:t>
      </w:r>
    </w:p>
    <w:p>
      <w:pPr>
        <w:pStyle w:val="ListNumber"/>
        <w:spacing w:after="20"/>
      </w:pPr>
      <w:r>
        <w:t>Offer one optional short lesson without blocking the main task.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Screen</w:t>
            </w:r>
          </w:p>
        </w:tc>
        <w:tc>
          <w:tcPr>
            <w:tcW w:type="dxa" w:w="3360"/>
            <w:shd w:fill="12304A"/>
          </w:tcPr>
          <w:p>
            <w:r>
              <w:rPr>
                <w:b/>
                <w:color w:val="FFFFFF"/>
                <w:sz w:val="16"/>
              </w:rPr>
              <w:t>Must show</w:t>
            </w:r>
          </w:p>
        </w:tc>
        <w:tc>
          <w:tcPr>
            <w:tcW w:type="dxa" w:w="3360"/>
            <w:shd w:fill="12304A"/>
          </w:tcPr>
          <w:p>
            <w:r>
              <w:rPr>
                <w:b/>
                <w:color w:val="FFFFFF"/>
                <w:sz w:val="16"/>
              </w:rPr>
              <w:t>Avoid</w:t>
            </w:r>
          </w:p>
        </w:tc>
      </w:tr>
      <w:tr>
        <w:tc>
          <w:tcPr>
            <w:tcW w:type="dxa" w:w="3360"/>
            <w:vAlign w:val="center"/>
          </w:tcPr>
          <w:p>
            <w:pPr>
              <w:spacing w:after="20"/>
            </w:pPr>
            <w:r>
              <w:rPr>
                <w:sz w:val="15"/>
              </w:rPr>
              <w:t>Home / My Money Plan</w:t>
            </w:r>
          </w:p>
        </w:tc>
        <w:tc>
          <w:tcPr>
            <w:tcW w:type="dxa" w:w="3360"/>
            <w:vAlign w:val="center"/>
          </w:tcPr>
          <w:p>
            <w:pPr>
              <w:spacing w:after="20"/>
            </w:pPr>
            <w:r>
              <w:rPr>
                <w:sz w:val="15"/>
              </w:rPr>
              <w:t>Available balance, protected essentials, flexible amount, planning period and next action.</w:t>
            </w:r>
          </w:p>
        </w:tc>
        <w:tc>
          <w:tcPr>
            <w:tcW w:type="dxa" w:w="3360"/>
            <w:vAlign w:val="center"/>
          </w:tcPr>
          <w:p>
            <w:pPr>
              <w:spacing w:after="20"/>
            </w:pPr>
            <w:r>
              <w:rPr>
                <w:sz w:val="15"/>
              </w:rPr>
              <w:t>Too many charts or false precision.</w:t>
            </w:r>
          </w:p>
        </w:tc>
      </w:tr>
      <w:tr>
        <w:tc>
          <w:tcPr>
            <w:tcW w:type="dxa" w:w="3360"/>
            <w:vAlign w:val="center"/>
            <w:shd w:fill="F1F5F8"/>
          </w:tcPr>
          <w:p>
            <w:pPr>
              <w:spacing w:after="20"/>
            </w:pPr>
            <w:r>
              <w:rPr>
                <w:sz w:val="15"/>
              </w:rPr>
              <w:t>Add transaction</w:t>
            </w:r>
          </w:p>
        </w:tc>
        <w:tc>
          <w:tcPr>
            <w:tcW w:type="dxa" w:w="3360"/>
            <w:vAlign w:val="center"/>
            <w:shd w:fill="F1F5F8"/>
          </w:tcPr>
          <w:p>
            <w:pPr>
              <w:spacing w:after="20"/>
            </w:pPr>
            <w:r>
              <w:rPr>
                <w:sz w:val="15"/>
              </w:rPr>
              <w:t>Amount, type, category, date and optional note.</w:t>
            </w:r>
          </w:p>
        </w:tc>
        <w:tc>
          <w:tcPr>
            <w:tcW w:type="dxa" w:w="3360"/>
            <w:vAlign w:val="center"/>
            <w:shd w:fill="F1F5F8"/>
          </w:tcPr>
          <w:p>
            <w:pPr>
              <w:spacing w:after="20"/>
            </w:pPr>
            <w:r>
              <w:rPr>
                <w:sz w:val="15"/>
              </w:rPr>
              <w:t>Long mandatory forms.</w:t>
            </w:r>
          </w:p>
        </w:tc>
      </w:tr>
      <w:tr>
        <w:tc>
          <w:tcPr>
            <w:tcW w:type="dxa" w:w="3360"/>
            <w:vAlign w:val="center"/>
          </w:tcPr>
          <w:p>
            <w:pPr>
              <w:spacing w:after="20"/>
            </w:pPr>
            <w:r>
              <w:rPr>
                <w:sz w:val="15"/>
              </w:rPr>
              <w:t>Budget</w:t>
            </w:r>
          </w:p>
        </w:tc>
        <w:tc>
          <w:tcPr>
            <w:tcW w:type="dxa" w:w="3360"/>
            <w:vAlign w:val="center"/>
          </w:tcPr>
          <w:p>
            <w:pPr>
              <w:spacing w:after="20"/>
            </w:pPr>
            <w:r>
              <w:rPr>
                <w:sz w:val="15"/>
              </w:rPr>
              <w:t>Limits, spent, remaining and editable assumptions.</w:t>
            </w:r>
          </w:p>
        </w:tc>
        <w:tc>
          <w:tcPr>
            <w:tcW w:type="dxa" w:w="3360"/>
            <w:vAlign w:val="center"/>
          </w:tcPr>
          <w:p>
            <w:pPr>
              <w:spacing w:after="20"/>
            </w:pPr>
            <w:r>
              <w:rPr>
                <w:sz w:val="15"/>
              </w:rPr>
              <w:t>Shaming alerts or hidden calculations.</w:t>
            </w:r>
          </w:p>
        </w:tc>
      </w:tr>
      <w:tr>
        <w:tc>
          <w:tcPr>
            <w:tcW w:type="dxa" w:w="3360"/>
            <w:vAlign w:val="center"/>
            <w:shd w:fill="F1F5F8"/>
          </w:tcPr>
          <w:p>
            <w:pPr>
              <w:spacing w:after="20"/>
            </w:pPr>
            <w:r>
              <w:rPr>
                <w:sz w:val="15"/>
              </w:rPr>
              <w:t>Survival Mode</w:t>
            </w:r>
          </w:p>
        </w:tc>
        <w:tc>
          <w:tcPr>
            <w:tcW w:type="dxa" w:w="3360"/>
            <w:vAlign w:val="center"/>
            <w:shd w:fill="F1F5F8"/>
          </w:tcPr>
          <w:p>
            <w:pPr>
              <w:spacing w:after="20"/>
            </w:pPr>
            <w:r>
              <w:rPr>
                <w:sz w:val="15"/>
              </w:rPr>
              <w:t>What changed, revised estimate and adjustable options.</w:t>
            </w:r>
          </w:p>
        </w:tc>
        <w:tc>
          <w:tcPr>
            <w:tcW w:type="dxa" w:w="3360"/>
            <w:vAlign w:val="center"/>
            <w:shd w:fill="F1F5F8"/>
          </w:tcPr>
          <w:p>
            <w:pPr>
              <w:spacing w:after="20"/>
            </w:pPr>
            <w:r>
              <w:rPr>
                <w:sz w:val="15"/>
              </w:rPr>
              <w:t>Assumptions about resources the user lacks.</w:t>
            </w:r>
          </w:p>
        </w:tc>
      </w:tr>
      <w:tr>
        <w:tc>
          <w:tcPr>
            <w:tcW w:type="dxa" w:w="3360"/>
            <w:vAlign w:val="center"/>
          </w:tcPr>
          <w:p>
            <w:pPr>
              <w:spacing w:after="20"/>
            </w:pPr>
            <w:r>
              <w:rPr>
                <w:sz w:val="15"/>
              </w:rPr>
              <w:t>Savings goals</w:t>
            </w:r>
          </w:p>
        </w:tc>
        <w:tc>
          <w:tcPr>
            <w:tcW w:type="dxa" w:w="3360"/>
            <w:vAlign w:val="center"/>
          </w:tcPr>
          <w:p>
            <w:pPr>
              <w:spacing w:after="20"/>
            </w:pPr>
            <w:r>
              <w:rPr>
                <w:sz w:val="15"/>
              </w:rPr>
              <w:t>Target, deadline, suggested contribution, progress, pause/edit.</w:t>
            </w:r>
          </w:p>
        </w:tc>
        <w:tc>
          <w:tcPr>
            <w:tcW w:type="dxa" w:w="3360"/>
            <w:vAlign w:val="center"/>
          </w:tcPr>
          <w:p>
            <w:pPr>
              <w:spacing w:after="20"/>
            </w:pPr>
            <w:r>
              <w:rPr>
                <w:sz w:val="15"/>
              </w:rPr>
              <w:t>Pressure to save before essentials.</w:t>
            </w:r>
          </w:p>
        </w:tc>
      </w:tr>
      <w:tr>
        <w:tc>
          <w:tcPr>
            <w:tcW w:type="dxa" w:w="3360"/>
            <w:vAlign w:val="center"/>
            <w:shd w:fill="F1F5F8"/>
          </w:tcPr>
          <w:p>
            <w:pPr>
              <w:spacing w:after="20"/>
            </w:pPr>
            <w:r>
              <w:rPr>
                <w:sz w:val="15"/>
              </w:rPr>
              <w:t>Learn</w:t>
            </w:r>
          </w:p>
        </w:tc>
        <w:tc>
          <w:tcPr>
            <w:tcW w:type="dxa" w:w="3360"/>
            <w:vAlign w:val="center"/>
            <w:shd w:fill="F1F5F8"/>
          </w:tcPr>
          <w:p>
            <w:pPr>
              <w:spacing w:after="20"/>
            </w:pPr>
            <w:r>
              <w:rPr>
                <w:sz w:val="15"/>
              </w:rPr>
              <w:t>Short lessons, examples in naira, quiz and plain definitions.</w:t>
            </w:r>
          </w:p>
        </w:tc>
        <w:tc>
          <w:tcPr>
            <w:tcW w:type="dxa" w:w="3360"/>
            <w:vAlign w:val="center"/>
            <w:shd w:fill="F1F5F8"/>
          </w:tcPr>
          <w:p>
            <w:pPr>
              <w:spacing w:after="20"/>
            </w:pPr>
            <w:r>
              <w:rPr>
                <w:sz w:val="15"/>
              </w:rPr>
              <w:t>Dense textbook content.</w:t>
            </w:r>
          </w:p>
        </w:tc>
      </w:tr>
      <w:tr>
        <w:tc>
          <w:tcPr>
            <w:tcW w:type="dxa" w:w="3360"/>
            <w:vAlign w:val="center"/>
          </w:tcPr>
          <w:p>
            <w:pPr>
              <w:spacing w:after="20"/>
            </w:pPr>
            <w:r>
              <w:rPr>
                <w:sz w:val="15"/>
              </w:rPr>
              <w:t>Simulator</w:t>
            </w:r>
          </w:p>
        </w:tc>
        <w:tc>
          <w:tcPr>
            <w:tcW w:type="dxa" w:w="3360"/>
            <w:vAlign w:val="center"/>
          </w:tcPr>
          <w:p>
            <w:pPr>
              <w:spacing w:after="20"/>
            </w:pPr>
            <w:r>
              <w:rPr>
                <w:sz w:val="15"/>
              </w:rPr>
              <w:t>Virtual balance, scenario, choice and risk explanation.</w:t>
            </w:r>
          </w:p>
        </w:tc>
        <w:tc>
          <w:tcPr>
            <w:tcW w:type="dxa" w:w="3360"/>
            <w:vAlign w:val="center"/>
          </w:tcPr>
          <w:p>
            <w:pPr>
              <w:spacing w:after="20"/>
            </w:pPr>
            <w:r>
              <w:rPr>
                <w:sz w:val="15"/>
              </w:rPr>
              <w:t>Implied live trading or guaranteed profit.</w:t>
            </w:r>
          </w:p>
        </w:tc>
      </w:tr>
      <w:tr>
        <w:tc>
          <w:tcPr>
            <w:tcW w:type="dxa" w:w="3360"/>
            <w:vAlign w:val="center"/>
            <w:shd w:fill="F1F5F8"/>
          </w:tcPr>
          <w:p>
            <w:pPr>
              <w:spacing w:after="20"/>
            </w:pPr>
            <w:r>
              <w:rPr>
                <w:sz w:val="15"/>
              </w:rPr>
              <w:t>Settings</w:t>
            </w:r>
          </w:p>
        </w:tc>
        <w:tc>
          <w:tcPr>
            <w:tcW w:type="dxa" w:w="3360"/>
            <w:vAlign w:val="center"/>
            <w:shd w:fill="F1F5F8"/>
          </w:tcPr>
          <w:p>
            <w:pPr>
              <w:spacing w:after="20"/>
            </w:pPr>
            <w:r>
              <w:rPr>
                <w:sz w:val="15"/>
              </w:rPr>
              <w:t>Language, reminders, export/delete and privacy.</w:t>
            </w:r>
          </w:p>
        </w:tc>
        <w:tc>
          <w:tcPr>
            <w:tcW w:type="dxa" w:w="3360"/>
            <w:vAlign w:val="center"/>
            <w:shd w:fill="F1F5F8"/>
          </w:tcPr>
          <w:p>
            <w:pPr>
              <w:spacing w:after="20"/>
            </w:pPr>
            <w:r>
              <w:rPr>
                <w:sz w:val="15"/>
              </w:rPr>
              <w:t>Hidden controls.</w:t>
            </w:r>
          </w:p>
        </w:tc>
      </w:tr>
    </w:tbl>
    <w:p/>
    <w:p>
      <w:pPr>
        <w:pStyle w:val="Heading2"/>
      </w:pPr>
      <w:r>
        <w:t>Example dashboard (illustrative only)</w:t>
      </w:r>
    </w:p>
    <w:p>
      <w:pPr>
        <w:pStyle w:val="ListBullet"/>
        <w:spacing w:after="20"/>
      </w:pPr>
      <w:r>
        <w:t>Available now: ₦12,500</w:t>
      </w:r>
    </w:p>
    <w:p>
      <w:pPr>
        <w:pStyle w:val="ListBullet"/>
        <w:spacing w:after="20"/>
      </w:pPr>
      <w:r>
        <w:t>Protected for essentials: ₦6,000</w:t>
      </w:r>
    </w:p>
    <w:p>
      <w:pPr>
        <w:pStyle w:val="ListBullet"/>
        <w:spacing w:after="20"/>
      </w:pPr>
      <w:r>
        <w:t>Flexible amount in this plan: ₦4,500</w:t>
      </w:r>
    </w:p>
    <w:p>
      <w:pPr>
        <w:pStyle w:val="ListBullet"/>
        <w:spacing w:after="20"/>
      </w:pPr>
      <w:r>
        <w:t>Planning period: 9 days</w:t>
      </w:r>
    </w:p>
    <w:p>
      <w:pPr>
        <w:pStyle w:val="ListBullet"/>
        <w:spacing w:after="20"/>
      </w:pPr>
      <w:r>
        <w:t>Illustrative daily guide: ₦500</w:t>
      </w:r>
    </w:p>
    <w:p>
      <w:pPr>
        <w:pStyle w:val="ListBullet"/>
        <w:spacing w:after="20"/>
      </w:pPr>
      <w:r>
        <w:t>Next action: Add today’s expenses or adjust the plan</w:t>
      </w:r>
    </w:p>
    <w:p>
      <w:r>
        <w:t>The live app must calculate figures from user inputs and show when data is missing or outdated. All example amounts here are fictional.</w:t>
      </w:r>
    </w:p>
    <w:p>
      <w:pPr>
        <w:pStyle w:val="Heading1"/>
      </w:pPr>
      <w:r>
        <w:t>8. Technical requirements and architecture</w:t>
      </w:r>
    </w:p>
    <w:p>
      <w:pPr>
        <w:pStyle w:val="Heading2"/>
      </w:pPr>
      <w:r>
        <w:t>Functional requirements</w:t>
      </w:r>
    </w:p>
    <w:p>
      <w:pPr>
        <w:pStyle w:val="ListBullet"/>
        <w:spacing w:after="20"/>
      </w:pPr>
      <w:r>
        <w:t>Create, view, edit and delete income and expense records.</w:t>
      </w:r>
    </w:p>
    <w:p>
      <w:pPr>
        <w:pStyle w:val="ListBullet"/>
        <w:spacing w:after="20"/>
      </w:pPr>
      <w:r>
        <w:t>Store amount, currency, date, type and category consistently.</w:t>
      </w:r>
    </w:p>
    <w:p>
      <w:pPr>
        <w:pStyle w:val="ListBullet"/>
        <w:spacing w:after="20"/>
      </w:pPr>
      <w:r>
        <w:t>Define category budgets and see remaining amounts.</w:t>
      </w:r>
    </w:p>
    <w:p>
      <w:pPr>
        <w:pStyle w:val="ListBullet"/>
        <w:spacing w:after="20"/>
      </w:pPr>
      <w:r>
        <w:t>Create goals and log contributions without implying money moved.</w:t>
      </w:r>
    </w:p>
    <w:p>
      <w:pPr>
        <w:pStyle w:val="ListBullet"/>
        <w:spacing w:after="20"/>
      </w:pPr>
      <w:r>
        <w:t>Persist selected language across supported screens.</w:t>
      </w:r>
    </w:p>
    <w:p>
      <w:pPr>
        <w:pStyle w:val="ListBullet"/>
        <w:spacing w:after="20"/>
      </w:pPr>
      <w:r>
        <w:t>Recalculate the runway when balance, costs, expenses or days change.</w:t>
      </w:r>
    </w:p>
    <w:p>
      <w:pPr>
        <w:pStyle w:val="ListBullet"/>
        <w:spacing w:after="20"/>
      </w:pPr>
      <w:r>
        <w:t>Explain missing inputs rather than inventing a planning date.</w:t>
      </w:r>
    </w:p>
    <w:p>
      <w:pPr>
        <w:pStyle w:val="ListBullet"/>
        <w:spacing w:after="20"/>
      </w:pPr>
      <w:r>
        <w:t>Provide privacy information and appropriate data export/deletion controls.</w:t>
      </w:r>
    </w:p>
    <w:p>
      <w:pPr>
        <w:pStyle w:val="ListBullet"/>
        <w:spacing w:after="20"/>
      </w:pPr>
      <w:r>
        <w:t>Keep virtual simulator data separate from real transaction balances.</w:t>
      </w:r>
    </w:p>
    <w:p>
      <w:pPr>
        <w:pStyle w:val="Heading2"/>
      </w:pPr>
      <w:r>
        <w:t>Suggested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Entity</w:t>
            </w:r>
          </w:p>
        </w:tc>
        <w:tc>
          <w:tcPr>
            <w:tcW w:type="dxa" w:w="3360"/>
            <w:shd w:fill="12304A"/>
          </w:tcPr>
          <w:p>
            <w:r>
              <w:rPr>
                <w:b/>
                <w:color w:val="FFFFFF"/>
                <w:sz w:val="16"/>
              </w:rPr>
              <w:t>Core fields</w:t>
            </w:r>
          </w:p>
        </w:tc>
        <w:tc>
          <w:tcPr>
            <w:tcW w:type="dxa" w:w="3360"/>
            <w:shd w:fill="12304A"/>
          </w:tcPr>
          <w:p>
            <w:r>
              <w:rPr>
                <w:b/>
                <w:color w:val="FFFFFF"/>
                <w:sz w:val="16"/>
              </w:rPr>
              <w:t>Notes</w:t>
            </w:r>
          </w:p>
        </w:tc>
      </w:tr>
      <w:tr>
        <w:tc>
          <w:tcPr>
            <w:tcW w:type="dxa" w:w="3360"/>
            <w:vAlign w:val="center"/>
          </w:tcPr>
          <w:p>
            <w:pPr>
              <w:spacing w:after="20"/>
            </w:pPr>
            <w:r>
              <w:rPr>
                <w:sz w:val="15"/>
              </w:rPr>
              <w:t>Profile</w:t>
            </w:r>
          </w:p>
        </w:tc>
        <w:tc>
          <w:tcPr>
            <w:tcW w:type="dxa" w:w="3360"/>
            <w:vAlign w:val="center"/>
          </w:tcPr>
          <w:p>
            <w:pPr>
              <w:spacing w:after="20"/>
            </w:pPr>
            <w:r>
              <w:rPr>
                <w:sz w:val="15"/>
              </w:rPr>
              <w:t>user_id, language, currency, settings</w:t>
            </w:r>
          </w:p>
        </w:tc>
        <w:tc>
          <w:tcPr>
            <w:tcW w:type="dxa" w:w="3360"/>
            <w:vAlign w:val="center"/>
          </w:tcPr>
          <w:p>
            <w:pPr>
              <w:spacing w:after="20"/>
            </w:pPr>
            <w:r>
              <w:rPr>
                <w:sz w:val="15"/>
              </w:rPr>
              <w:t>Collect only what is needed.</w:t>
            </w:r>
          </w:p>
        </w:tc>
      </w:tr>
      <w:tr>
        <w:tc>
          <w:tcPr>
            <w:tcW w:type="dxa" w:w="3360"/>
            <w:vAlign w:val="center"/>
            <w:shd w:fill="F1F5F8"/>
          </w:tcPr>
          <w:p>
            <w:pPr>
              <w:spacing w:after="20"/>
            </w:pPr>
            <w:r>
              <w:rPr>
                <w:sz w:val="15"/>
              </w:rPr>
              <w:t>Transaction</w:t>
            </w:r>
          </w:p>
        </w:tc>
        <w:tc>
          <w:tcPr>
            <w:tcW w:type="dxa" w:w="3360"/>
            <w:vAlign w:val="center"/>
            <w:shd w:fill="F1F5F8"/>
          </w:tcPr>
          <w:p>
            <w:pPr>
              <w:spacing w:after="20"/>
            </w:pPr>
            <w:r>
              <w:rPr>
                <w:sz w:val="15"/>
              </w:rPr>
              <w:t>id, user_id, type, amount, category, date, note</w:t>
            </w:r>
          </w:p>
        </w:tc>
        <w:tc>
          <w:tcPr>
            <w:tcW w:type="dxa" w:w="3360"/>
            <w:vAlign w:val="center"/>
            <w:shd w:fill="F1F5F8"/>
          </w:tcPr>
          <w:p>
            <w:pPr>
              <w:spacing w:after="20"/>
            </w:pPr>
            <w:r>
              <w:rPr>
                <w:sz w:val="15"/>
              </w:rPr>
              <w:t>Editable and deletable.</w:t>
            </w:r>
          </w:p>
        </w:tc>
      </w:tr>
      <w:tr>
        <w:tc>
          <w:tcPr>
            <w:tcW w:type="dxa" w:w="3360"/>
            <w:vAlign w:val="center"/>
          </w:tcPr>
          <w:p>
            <w:pPr>
              <w:spacing w:after="20"/>
            </w:pPr>
            <w:r>
              <w:rPr>
                <w:sz w:val="15"/>
              </w:rPr>
              <w:t>Budget category</w:t>
            </w:r>
          </w:p>
        </w:tc>
        <w:tc>
          <w:tcPr>
            <w:tcW w:type="dxa" w:w="3360"/>
            <w:vAlign w:val="center"/>
          </w:tcPr>
          <w:p>
            <w:pPr>
              <w:spacing w:after="20"/>
            </w:pPr>
            <w:r>
              <w:rPr>
                <w:sz w:val="15"/>
              </w:rPr>
              <w:t>id, user_id, name, essential/flexible flag, limit</w:t>
            </w:r>
          </w:p>
        </w:tc>
        <w:tc>
          <w:tcPr>
            <w:tcW w:type="dxa" w:w="3360"/>
            <w:vAlign w:val="center"/>
          </w:tcPr>
          <w:p>
            <w:pPr>
              <w:spacing w:after="20"/>
            </w:pPr>
            <w:r>
              <w:rPr>
                <w:sz w:val="15"/>
              </w:rPr>
              <w:t>Allow custom categories.</w:t>
            </w:r>
          </w:p>
        </w:tc>
      </w:tr>
      <w:tr>
        <w:tc>
          <w:tcPr>
            <w:tcW w:type="dxa" w:w="3360"/>
            <w:vAlign w:val="center"/>
            <w:shd w:fill="F1F5F8"/>
          </w:tcPr>
          <w:p>
            <w:pPr>
              <w:spacing w:after="20"/>
            </w:pPr>
            <w:r>
              <w:rPr>
                <w:sz w:val="15"/>
              </w:rPr>
              <w:t>Income expectation</w:t>
            </w:r>
          </w:p>
        </w:tc>
        <w:tc>
          <w:tcPr>
            <w:tcW w:type="dxa" w:w="3360"/>
            <w:vAlign w:val="center"/>
            <w:shd w:fill="F1F5F8"/>
          </w:tcPr>
          <w:p>
            <w:pPr>
              <w:spacing w:after="20"/>
            </w:pPr>
            <w:r>
              <w:rPr>
                <w:sz w:val="15"/>
              </w:rPr>
              <w:t>source, expected date, estimated amount, status</w:t>
            </w:r>
          </w:p>
        </w:tc>
        <w:tc>
          <w:tcPr>
            <w:tcW w:type="dxa" w:w="3360"/>
            <w:vAlign w:val="center"/>
            <w:shd w:fill="F1F5F8"/>
          </w:tcPr>
          <w:p>
            <w:pPr>
              <w:spacing w:after="20"/>
            </w:pPr>
            <w:r>
              <w:rPr>
                <w:sz w:val="15"/>
              </w:rPr>
              <w:t>Expected income is not cash available.</w:t>
            </w:r>
          </w:p>
        </w:tc>
      </w:tr>
      <w:tr>
        <w:tc>
          <w:tcPr>
            <w:tcW w:type="dxa" w:w="3360"/>
            <w:vAlign w:val="center"/>
          </w:tcPr>
          <w:p>
            <w:pPr>
              <w:spacing w:after="20"/>
            </w:pPr>
            <w:r>
              <w:rPr>
                <w:sz w:val="15"/>
              </w:rPr>
              <w:t>Savings goal</w:t>
            </w:r>
          </w:p>
        </w:tc>
        <w:tc>
          <w:tcPr>
            <w:tcW w:type="dxa" w:w="3360"/>
            <w:vAlign w:val="center"/>
          </w:tcPr>
          <w:p>
            <w:pPr>
              <w:spacing w:after="20"/>
            </w:pPr>
            <w:r>
              <w:rPr>
                <w:sz w:val="15"/>
              </w:rPr>
              <w:t>id, target, deadline, status</w:t>
            </w:r>
          </w:p>
        </w:tc>
        <w:tc>
          <w:tcPr>
            <w:tcW w:type="dxa" w:w="3360"/>
            <w:vAlign w:val="center"/>
          </w:tcPr>
          <w:p>
            <w:pPr>
              <w:spacing w:after="20"/>
            </w:pPr>
            <w:r>
              <w:rPr>
                <w:sz w:val="15"/>
              </w:rPr>
              <w:t>Tracker only; no custody.</w:t>
            </w:r>
          </w:p>
        </w:tc>
      </w:tr>
      <w:tr>
        <w:tc>
          <w:tcPr>
            <w:tcW w:type="dxa" w:w="3360"/>
            <w:vAlign w:val="center"/>
            <w:shd w:fill="F1F5F8"/>
          </w:tcPr>
          <w:p>
            <w:pPr>
              <w:spacing w:after="20"/>
            </w:pPr>
            <w:r>
              <w:rPr>
                <w:sz w:val="15"/>
              </w:rPr>
              <w:t>Contribution</w:t>
            </w:r>
          </w:p>
        </w:tc>
        <w:tc>
          <w:tcPr>
            <w:tcW w:type="dxa" w:w="3360"/>
            <w:vAlign w:val="center"/>
            <w:shd w:fill="F1F5F8"/>
          </w:tcPr>
          <w:p>
            <w:pPr>
              <w:spacing w:after="20"/>
            </w:pPr>
            <w:r>
              <w:rPr>
                <w:sz w:val="15"/>
              </w:rPr>
              <w:t>goal_id, amount, date</w:t>
            </w:r>
          </w:p>
        </w:tc>
        <w:tc>
          <w:tcPr>
            <w:tcW w:type="dxa" w:w="3360"/>
            <w:vAlign w:val="center"/>
            <w:shd w:fill="F1F5F8"/>
          </w:tcPr>
          <w:p>
            <w:pPr>
              <w:spacing w:after="20"/>
            </w:pPr>
            <w:r>
              <w:rPr>
                <w:sz w:val="15"/>
              </w:rPr>
              <w:t>Manual record in MVP.</w:t>
            </w:r>
          </w:p>
        </w:tc>
      </w:tr>
      <w:tr>
        <w:tc>
          <w:tcPr>
            <w:tcW w:type="dxa" w:w="3360"/>
            <w:vAlign w:val="center"/>
          </w:tcPr>
          <w:p>
            <w:pPr>
              <w:spacing w:after="20"/>
            </w:pPr>
            <w:r>
              <w:rPr>
                <w:sz w:val="15"/>
              </w:rPr>
              <w:t>Learning progress</w:t>
            </w:r>
          </w:p>
        </w:tc>
        <w:tc>
          <w:tcPr>
            <w:tcW w:type="dxa" w:w="3360"/>
            <w:vAlign w:val="center"/>
          </w:tcPr>
          <w:p>
            <w:pPr>
              <w:spacing w:after="20"/>
            </w:pPr>
            <w:r>
              <w:rPr>
                <w:sz w:val="15"/>
              </w:rPr>
              <w:t>lesson, quiz result, timestamp</w:t>
            </w:r>
          </w:p>
        </w:tc>
        <w:tc>
          <w:tcPr>
            <w:tcW w:type="dxa" w:w="3360"/>
            <w:vAlign w:val="center"/>
          </w:tcPr>
          <w:p>
            <w:pPr>
              <w:spacing w:after="20"/>
            </w:pPr>
            <w:r>
              <w:rPr>
                <w:sz w:val="15"/>
              </w:rPr>
              <w:t>Avoid unnecessary profiling.</w:t>
            </w:r>
          </w:p>
        </w:tc>
      </w:tr>
      <w:tr>
        <w:tc>
          <w:tcPr>
            <w:tcW w:type="dxa" w:w="3360"/>
            <w:vAlign w:val="center"/>
            <w:shd w:fill="F1F5F8"/>
          </w:tcPr>
          <w:p>
            <w:pPr>
              <w:spacing w:after="20"/>
            </w:pPr>
            <w:r>
              <w:rPr>
                <w:sz w:val="15"/>
              </w:rPr>
              <w:t>Simulator session</w:t>
            </w:r>
          </w:p>
        </w:tc>
        <w:tc>
          <w:tcPr>
            <w:tcW w:type="dxa" w:w="3360"/>
            <w:vAlign w:val="center"/>
            <w:shd w:fill="F1F5F8"/>
          </w:tcPr>
          <w:p>
            <w:pPr>
              <w:spacing w:after="20"/>
            </w:pPr>
            <w:r>
              <w:rPr>
                <w:sz w:val="15"/>
              </w:rPr>
              <w:t>scenario, virtual balance, choices, outcomes</w:t>
            </w:r>
          </w:p>
        </w:tc>
        <w:tc>
          <w:tcPr>
            <w:tcW w:type="dxa" w:w="3360"/>
            <w:vAlign w:val="center"/>
            <w:shd w:fill="F1F5F8"/>
          </w:tcPr>
          <w:p>
            <w:pPr>
              <w:spacing w:after="20"/>
            </w:pPr>
            <w:r>
              <w:rPr>
                <w:sz w:val="15"/>
              </w:rPr>
              <w:t>Separate from real transactions.</w:t>
            </w:r>
          </w:p>
        </w:tc>
      </w:tr>
    </w:tbl>
    <w:p/>
    <w:p>
      <w:pPr>
        <w:pStyle w:val="Heading2"/>
      </w:pPr>
      <w:r>
        <w:t>Practical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Layer</w:t>
            </w:r>
          </w:p>
        </w:tc>
        <w:tc>
          <w:tcPr>
            <w:tcW w:type="dxa" w:w="3360"/>
            <w:shd w:fill="12304A"/>
          </w:tcPr>
          <w:p>
            <w:r>
              <w:rPr>
                <w:b/>
                <w:color w:val="FFFFFF"/>
                <w:sz w:val="16"/>
              </w:rPr>
              <w:t>Recommendation</w:t>
            </w:r>
          </w:p>
        </w:tc>
        <w:tc>
          <w:tcPr>
            <w:tcW w:type="dxa" w:w="3360"/>
            <w:shd w:fill="12304A"/>
          </w:tcPr>
          <w:p>
            <w:r>
              <w:rPr>
                <w:b/>
                <w:color w:val="FFFFFF"/>
                <w:sz w:val="16"/>
              </w:rPr>
              <w:t>Caution</w:t>
            </w:r>
          </w:p>
        </w:tc>
      </w:tr>
      <w:tr>
        <w:tc>
          <w:tcPr>
            <w:tcW w:type="dxa" w:w="3360"/>
            <w:vAlign w:val="center"/>
          </w:tcPr>
          <w:p>
            <w:pPr>
              <w:spacing w:after="20"/>
            </w:pPr>
            <w:r>
              <w:rPr>
                <w:sz w:val="15"/>
              </w:rPr>
              <w:t>Client</w:t>
            </w:r>
          </w:p>
        </w:tc>
        <w:tc>
          <w:tcPr>
            <w:tcW w:type="dxa" w:w="3360"/>
            <w:vAlign w:val="center"/>
          </w:tcPr>
          <w:p>
            <w:pPr>
              <w:spacing w:after="20"/>
            </w:pPr>
            <w:r>
              <w:rPr>
                <w:sz w:val="15"/>
              </w:rPr>
              <w:t>Mobile-first PWA / responsive web app</w:t>
            </w:r>
          </w:p>
        </w:tc>
        <w:tc>
          <w:tcPr>
            <w:tcW w:type="dxa" w:w="3360"/>
            <w:vAlign w:val="center"/>
          </w:tcPr>
          <w:p>
            <w:pPr>
              <w:spacing w:after="20"/>
            </w:pPr>
            <w:r>
              <w:rPr>
                <w:sz w:val="15"/>
              </w:rPr>
              <w:t>One codebase; test install and offline behaviour.</w:t>
            </w:r>
          </w:p>
        </w:tc>
      </w:tr>
      <w:tr>
        <w:tc>
          <w:tcPr>
            <w:tcW w:type="dxa" w:w="3360"/>
            <w:vAlign w:val="center"/>
            <w:shd w:fill="F1F5F8"/>
          </w:tcPr>
          <w:p>
            <w:pPr>
              <w:spacing w:after="20"/>
            </w:pPr>
            <w:r>
              <w:rPr>
                <w:sz w:val="15"/>
              </w:rPr>
              <w:t>UI framework</w:t>
            </w:r>
          </w:p>
        </w:tc>
        <w:tc>
          <w:tcPr>
            <w:tcW w:type="dxa" w:w="3360"/>
            <w:vAlign w:val="center"/>
            <w:shd w:fill="F1F5F8"/>
          </w:tcPr>
          <w:p>
            <w:pPr>
              <w:spacing w:after="20"/>
            </w:pPr>
            <w:r>
              <w:rPr>
                <w:sz w:val="15"/>
              </w:rPr>
              <w:t>React or another framework the team already knows</w:t>
            </w:r>
          </w:p>
        </w:tc>
        <w:tc>
          <w:tcPr>
            <w:tcW w:type="dxa" w:w="3360"/>
            <w:vAlign w:val="center"/>
            <w:shd w:fill="F1F5F8"/>
          </w:tcPr>
          <w:p>
            <w:pPr>
              <w:spacing w:after="20"/>
            </w:pPr>
            <w:r>
              <w:rPr>
                <w:sz w:val="15"/>
              </w:rPr>
              <w:t>Do not rewrite a working prototype without evidence.</w:t>
            </w:r>
          </w:p>
        </w:tc>
      </w:tr>
      <w:tr>
        <w:tc>
          <w:tcPr>
            <w:tcW w:type="dxa" w:w="3360"/>
            <w:vAlign w:val="center"/>
          </w:tcPr>
          <w:p>
            <w:pPr>
              <w:spacing w:after="20"/>
            </w:pPr>
            <w:r>
              <w:rPr>
                <w:sz w:val="15"/>
              </w:rPr>
              <w:t>Backend/database</w:t>
            </w:r>
          </w:p>
        </w:tc>
        <w:tc>
          <w:tcPr>
            <w:tcW w:type="dxa" w:w="3360"/>
            <w:vAlign w:val="center"/>
          </w:tcPr>
          <w:p>
            <w:pPr>
              <w:spacing w:after="20"/>
            </w:pPr>
            <w:r>
              <w:rPr>
                <w:sz w:val="15"/>
              </w:rPr>
              <w:t>Managed backend such as Supabase/PostgreSQL or Firebase</w:t>
            </w:r>
          </w:p>
        </w:tc>
        <w:tc>
          <w:tcPr>
            <w:tcW w:type="dxa" w:w="3360"/>
            <w:vAlign w:val="center"/>
          </w:tcPr>
          <w:p>
            <w:pPr>
              <w:spacing w:after="20"/>
            </w:pPr>
            <w:r>
              <w:rPr>
                <w:sz w:val="15"/>
              </w:rPr>
              <w:t>Choose based on team skill; enforce per-user access rules.</w:t>
            </w:r>
          </w:p>
        </w:tc>
      </w:tr>
      <w:tr>
        <w:tc>
          <w:tcPr>
            <w:tcW w:type="dxa" w:w="3360"/>
            <w:vAlign w:val="center"/>
            <w:shd w:fill="F1F5F8"/>
          </w:tcPr>
          <w:p>
            <w:pPr>
              <w:spacing w:after="20"/>
            </w:pPr>
            <w:r>
              <w:rPr>
                <w:sz w:val="15"/>
              </w:rPr>
              <w:t>Authentication</w:t>
            </w:r>
          </w:p>
        </w:tc>
        <w:tc>
          <w:tcPr>
            <w:tcW w:type="dxa" w:w="3360"/>
            <w:vAlign w:val="center"/>
            <w:shd w:fill="F1F5F8"/>
          </w:tcPr>
          <w:p>
            <w:pPr>
              <w:spacing w:after="20"/>
            </w:pPr>
            <w:r>
              <w:rPr>
                <w:sz w:val="15"/>
              </w:rPr>
              <w:t>Simple provider-supported sign-in if cloud sync is needed</w:t>
            </w:r>
          </w:p>
        </w:tc>
        <w:tc>
          <w:tcPr>
            <w:tcW w:type="dxa" w:w="3360"/>
            <w:vAlign w:val="center"/>
            <w:shd w:fill="F1F5F8"/>
          </w:tcPr>
          <w:p>
            <w:pPr>
              <w:spacing w:after="20"/>
            </w:pPr>
            <w:r>
              <w:rPr>
                <w:sz w:val="15"/>
              </w:rPr>
              <w:t>Avoid unnecessary identity collection.</w:t>
            </w:r>
          </w:p>
        </w:tc>
      </w:tr>
      <w:tr>
        <w:tc>
          <w:tcPr>
            <w:tcW w:type="dxa" w:w="3360"/>
            <w:vAlign w:val="center"/>
          </w:tcPr>
          <w:p>
            <w:pPr>
              <w:spacing w:after="20"/>
            </w:pPr>
            <w:r>
              <w:rPr>
                <w:sz w:val="15"/>
              </w:rPr>
              <w:t>Localization</w:t>
            </w:r>
          </w:p>
        </w:tc>
        <w:tc>
          <w:tcPr>
            <w:tcW w:type="dxa" w:w="3360"/>
            <w:vAlign w:val="center"/>
          </w:tcPr>
          <w:p>
            <w:pPr>
              <w:spacing w:after="20"/>
            </w:pPr>
            <w:r>
              <w:rPr>
                <w:sz w:val="15"/>
              </w:rPr>
              <w:t>Central translation keys/files</w:t>
            </w:r>
          </w:p>
        </w:tc>
        <w:tc>
          <w:tcPr>
            <w:tcW w:type="dxa" w:w="3360"/>
            <w:vAlign w:val="center"/>
          </w:tcPr>
          <w:p>
            <w:pPr>
              <w:spacing w:after="20"/>
            </w:pPr>
            <w:r>
              <w:rPr>
                <w:sz w:val="15"/>
              </w:rPr>
              <w:t>Do not hard-code every text string into screens.</w:t>
            </w:r>
          </w:p>
        </w:tc>
      </w:tr>
      <w:tr>
        <w:tc>
          <w:tcPr>
            <w:tcW w:type="dxa" w:w="3360"/>
            <w:vAlign w:val="center"/>
            <w:shd w:fill="F1F5F8"/>
          </w:tcPr>
          <w:p>
            <w:pPr>
              <w:spacing w:after="20"/>
            </w:pPr>
            <w:r>
              <w:rPr>
                <w:sz w:val="15"/>
              </w:rPr>
              <w:t>Hosting</w:t>
            </w:r>
          </w:p>
        </w:tc>
        <w:tc>
          <w:tcPr>
            <w:tcW w:type="dxa" w:w="3360"/>
            <w:vAlign w:val="center"/>
            <w:shd w:fill="F1F5F8"/>
          </w:tcPr>
          <w:p>
            <w:pPr>
              <w:spacing w:after="20"/>
            </w:pPr>
            <w:r>
              <w:rPr>
                <w:sz w:val="15"/>
              </w:rPr>
              <w:t>Managed hosting, HTTPS, staging environment</w:t>
            </w:r>
          </w:p>
        </w:tc>
        <w:tc>
          <w:tcPr>
            <w:tcW w:type="dxa" w:w="3360"/>
            <w:vAlign w:val="center"/>
            <w:shd w:fill="F1F5F8"/>
          </w:tcPr>
          <w:p>
            <w:pPr>
              <w:spacing w:after="20"/>
            </w:pPr>
            <w:r>
              <w:rPr>
                <w:sz w:val="15"/>
              </w:rPr>
              <w:t>Keep secrets out of client-side code.</w:t>
            </w:r>
          </w:p>
        </w:tc>
      </w:tr>
      <w:tr>
        <w:tc>
          <w:tcPr>
            <w:tcW w:type="dxa" w:w="3360"/>
            <w:vAlign w:val="center"/>
          </w:tcPr>
          <w:p>
            <w:pPr>
              <w:spacing w:after="20"/>
            </w:pPr>
            <w:r>
              <w:rPr>
                <w:sz w:val="15"/>
              </w:rPr>
              <w:t>Testing</w:t>
            </w:r>
          </w:p>
        </w:tc>
        <w:tc>
          <w:tcPr>
            <w:tcW w:type="dxa" w:w="3360"/>
            <w:vAlign w:val="center"/>
          </w:tcPr>
          <w:p>
            <w:pPr>
              <w:spacing w:after="20"/>
            </w:pPr>
            <w:r>
              <w:rPr>
                <w:sz w:val="15"/>
              </w:rPr>
              <w:t>Unit tests for calculations; integration and language/usability tests</w:t>
            </w:r>
          </w:p>
        </w:tc>
        <w:tc>
          <w:tcPr>
            <w:tcW w:type="dxa" w:w="3360"/>
            <w:vAlign w:val="center"/>
          </w:tcPr>
          <w:p>
            <w:pPr>
              <w:spacing w:after="20"/>
            </w:pPr>
            <w:r>
              <w:rPr>
                <w:sz w:val="15"/>
              </w:rPr>
              <w:t>Runway calculations deserve automated tests.</w:t>
            </w:r>
          </w:p>
        </w:tc>
      </w:tr>
    </w:tbl>
    <w:p/>
    <w:p>
      <w:r>
        <w:t>Architecture: mobile browser/PWA → authenticated API or secure managed backend → database with per-user access rules. Keep calculation logic in a testable module. Store translations separately. Isolate simulator data from actual transactions. Configure backups, staging and basic error monitoring before a public pilot.</w:t>
      </w:r>
    </w:p>
    <w:p>
      <w:pPr>
        <w:pStyle w:val="Heading2"/>
      </w:pPr>
      <w:r>
        <w:t>Important calculation tests</w:t>
      </w:r>
    </w:p>
    <w:p>
      <w:pPr>
        <w:pStyle w:val="ListBullet"/>
        <w:spacing w:after="20"/>
      </w:pPr>
      <w:r>
        <w:t>Zero balance; essential commitments exceed available balance; one day remaining; unknown next-income date; delayed/early income; edited/deleted expense; invalid or negative amount; rounding consistency; and incomplete manually recorded expenses.</w:t>
      </w:r>
    </w:p>
    <w:p>
      <w:pPr>
        <w:pStyle w:val="ListBullet"/>
        <w:spacing w:after="20"/>
      </w:pPr>
      <w:r>
        <w:t>Never describe recorded totals as complete if the app only knows what the user entered.</w:t>
      </w:r>
    </w:p>
    <w:p>
      <w:pPr>
        <w:pStyle w:val="Heading1"/>
      </w:pPr>
      <w:r>
        <w:t>9. Privacy, security and financial safety</w:t>
      </w:r>
    </w:p>
    <w:p>
      <w:r>
        <w:t>SBMS handles sensitive personal-finance information even if it never holds money. Build privacy and security into the MVP. This is a product checklist, not legal advice; obtain qualified review before public launch and before adding regulated financial services.</w:t>
      </w:r>
    </w:p>
    <w:p>
      <w:pPr>
        <w:pStyle w:val="ListBullet"/>
        <w:spacing w:after="20"/>
      </w:pPr>
      <w:r>
        <w:t>Use HTTPS and secure authentication if accounts are supported.</w:t>
      </w:r>
    </w:p>
    <w:p>
      <w:pPr>
        <w:pStyle w:val="ListBullet"/>
        <w:spacing w:after="20"/>
      </w:pPr>
      <w:r>
        <w:t>Enforce backend per-user data access rules and test that users cannot access one another’s records.</w:t>
      </w:r>
    </w:p>
    <w:p>
      <w:pPr>
        <w:pStyle w:val="ListBullet"/>
        <w:spacing w:after="20"/>
      </w:pPr>
      <w:r>
        <w:t>Never expose service-role keys, database secrets or private credentials in client-side code.</w:t>
      </w:r>
    </w:p>
    <w:p>
      <w:pPr>
        <w:pStyle w:val="ListBullet"/>
        <w:spacing w:after="20"/>
      </w:pPr>
      <w:r>
        <w:t>Collect the minimum data necessary; make optional fields truly optional.</w:t>
      </w:r>
    </w:p>
    <w:p>
      <w:pPr>
        <w:pStyle w:val="ListBullet"/>
        <w:spacing w:after="20"/>
      </w:pPr>
      <w:r>
        <w:t>Explain what is stored, why, who processes it and how users can request export/deletion.</w:t>
      </w:r>
    </w:p>
    <w:p>
      <w:pPr>
        <w:pStyle w:val="ListBullet"/>
        <w:spacing w:after="20"/>
      </w:pPr>
      <w:r>
        <w:t>Use backups, dependency updates, basic abuse protection and a recovery process.</w:t>
      </w:r>
    </w:p>
    <w:p>
      <w:pPr>
        <w:pStyle w:val="ListBullet"/>
        <w:spacing w:after="20"/>
      </w:pPr>
      <w:r>
        <w:t>Avoid sending transaction notes or sensitive values to analytics unless justified and disclosed.</w:t>
      </w:r>
    </w:p>
    <w:p>
      <w:pPr>
        <w:pStyle w:val="ListBullet"/>
        <w:spacing w:after="20"/>
      </w:pPr>
      <w:r>
        <w:t>Never ask for bank PINs, card PINs, online banking passwords or brokerage passwords.</w:t>
      </w:r>
    </w:p>
    <w:p>
      <w:pPr>
        <w:pStyle w:val="ListBullet"/>
        <w:spacing w:after="20"/>
      </w:pPr>
      <w:r>
        <w:t>Use fictional data in screenshots and presentations.</w:t>
      </w:r>
    </w:p>
    <w:p>
      <w:pPr>
        <w:pStyle w:val="Heading2"/>
      </w:pPr>
      <w:r>
        <w:t>Financial safety boundaries</w:t>
      </w:r>
    </w:p>
    <w:p>
      <w:pPr>
        <w:pStyle w:val="ListBullet"/>
        <w:spacing w:after="20"/>
      </w:pPr>
      <w:r>
        <w:t>SBMS is initially a planner and educational tool, not a bank, wallet, broker or investment adviser.</w:t>
      </w:r>
    </w:p>
    <w:p>
      <w:pPr>
        <w:pStyle w:val="ListBullet"/>
        <w:spacing w:after="20"/>
      </w:pPr>
      <w:r>
        <w:t>No real-money custody, pooled savings, transfers or live investing in the first release.</w:t>
      </w:r>
    </w:p>
    <w:p>
      <w:pPr>
        <w:pStyle w:val="ListBullet"/>
        <w:spacing w:after="20"/>
      </w:pPr>
      <w:r>
        <w:t>Clearly distinguish goal tracking from moving money into a financial product.</w:t>
      </w:r>
    </w:p>
    <w:p>
      <w:pPr>
        <w:pStyle w:val="ListBullet"/>
        <w:spacing w:after="20"/>
      </w:pPr>
      <w:r>
        <w:t>Simulator returns are hypothetical; losses are possible and returns are not guaranteed.</w:t>
      </w:r>
    </w:p>
    <w:p>
      <w:pPr>
        <w:pStyle w:val="ListBullet"/>
        <w:spacing w:after="20"/>
      </w:pPr>
      <w:r>
        <w:t>Do not rank users by wealth or infer responsibility from balance.</w:t>
      </w:r>
    </w:p>
    <w:p>
      <w:pPr>
        <w:pStyle w:val="ListBullet"/>
        <w:spacing w:after="20"/>
      </w:pPr>
      <w:r>
        <w:t>Never recommend sacrificing essentials to hit a savings goal.</w:t>
      </w:r>
    </w:p>
    <w:p>
      <w:pPr>
        <w:pStyle w:val="ListBullet"/>
        <w:spacing w:after="20"/>
      </w:pPr>
      <w:r>
        <w:t>Before adding real-money features, seek qualified review of applicable Nigerian privacy, consumer-protection, payments, securities and other regulatory requirements.</w:t>
      </w:r>
    </w:p>
    <w:p>
      <w:pPr>
        <w:pStyle w:val="Heading2"/>
      </w:pPr>
      <w:r>
        <w:t>Notifications</w:t>
      </w:r>
    </w:p>
    <w:p>
      <w:r>
        <w:t>Make reminders configurable and useful: transaction logging, user-set goal dates or a planning review. Avoid guilt, alarmist language and excessive prompts. Do not reveal private financial details on a lock screen by default.</w:t>
      </w:r>
    </w:p>
    <w:p>
      <w:pPr>
        <w:pStyle w:val="Heading1"/>
      </w:pPr>
      <w:r>
        <w:t>10. Multilingual quality plan</w:t>
      </w:r>
    </w:p>
    <w:p>
      <w:r>
        <w:t>SBMS intends to support English, Yoruba, Nigerian Pidgin, Igbo and Hausa. Language support should cover critical tasks, not only the welcome screen.</w:t>
      </w:r>
    </w:p>
    <w:p>
      <w:pPr>
        <w:pStyle w:val="ListNumber"/>
        <w:spacing w:after="20"/>
      </w:pPr>
      <w:r>
        <w:t>Create a glossary for available balance, expense, income, savings goal, risk, loss, return, inflation and investment.</w:t>
      </w:r>
    </w:p>
    <w:p>
      <w:pPr>
        <w:pStyle w:val="ListNumber"/>
        <w:spacing w:after="20"/>
      </w:pPr>
      <w:r>
        <w:t>Use English as reference copy and localize critical journeys in all four other languages.</w:t>
      </w:r>
    </w:p>
    <w:p>
      <w:pPr>
        <w:pStyle w:val="ListNumber"/>
        <w:spacing w:after="20"/>
      </w:pPr>
      <w:r>
        <w:t>Have fluent speakers review meaning, tone and financial accuracy; do not rely on raw machine translation for risk-related text.</w:t>
      </w:r>
    </w:p>
    <w:p>
      <w:pPr>
        <w:pStyle w:val="ListNumber"/>
        <w:spacing w:after="20"/>
      </w:pPr>
      <w:r>
        <w:t>Test with actual speakers across literacy levels and regional variants.</w:t>
      </w:r>
    </w:p>
    <w:p>
      <w:pPr>
        <w:pStyle w:val="ListNumber"/>
        <w:spacing w:after="20"/>
      </w:pPr>
      <w:r>
        <w:t>Keep text short and natural; Nigerian Pidgin should be conversational rather than literal word substitution.</w:t>
      </w:r>
    </w:p>
    <w:p>
      <w:pPr>
        <w:pStyle w:val="ListNumber"/>
        <w:spacing w:after="20"/>
      </w:pPr>
      <w:r>
        <w:t>Allow language switching without losing entered data.</w:t>
      </w:r>
    </w:p>
    <w:p>
      <w:pPr>
        <w:pStyle w:val="ListNumber"/>
        <w:spacing w:after="20"/>
      </w:pPr>
      <w:r>
        <w:t>Localize dates, numbers and currency formatting where appropriate; default currency is NGN (₦).</w:t>
      </w:r>
    </w:p>
    <w:p>
      <w:pPr>
        <w:pStyle w:val="ListNumber"/>
        <w:spacing w:after="20"/>
      </w:pPr>
      <w:r>
        <w:t>Track translation coverage honestly; do not silently switch users to English for untranslated lessons.</w:t>
      </w:r>
    </w:p>
    <w:p>
      <w:pPr>
        <w:pStyle w:val="Heading2"/>
      </w:pPr>
      <w:r>
        <w:t>Acceptance criteria</w:t>
      </w:r>
    </w:p>
    <w:p>
      <w:pPr>
        <w:pStyle w:val="ListBullet"/>
        <w:spacing w:after="20"/>
      </w:pPr>
      <w:r>
        <w:t>Critical buttons, errors, onboarding and money-plan labels are translated in the selected language.</w:t>
      </w:r>
    </w:p>
    <w:p>
      <w:pPr>
        <w:pStyle w:val="ListBullet"/>
        <w:spacing w:after="20"/>
      </w:pPr>
      <w:r>
        <w:t>Changing language updates the current flow without resetting the session.</w:t>
      </w:r>
    </w:p>
    <w:p>
      <w:pPr>
        <w:pStyle w:val="ListBullet"/>
        <w:spacing w:after="20"/>
      </w:pPr>
      <w:r>
        <w:t>Text fits common phone widths.</w:t>
      </w:r>
    </w:p>
    <w:p>
      <w:pPr>
        <w:pStyle w:val="ListBullet"/>
        <w:spacing w:after="20"/>
      </w:pPr>
      <w:r>
        <w:t>Users can explain the runway result and risk warning in their own words.</w:t>
      </w:r>
    </w:p>
    <w:p>
      <w:pPr>
        <w:pStyle w:val="ListBullet"/>
        <w:spacing w:after="20"/>
      </w:pPr>
      <w:r>
        <w:t>Reviewers sign off on safety-critical wording.</w:t>
      </w:r>
    </w:p>
    <w:p>
      <w:pPr>
        <w:pStyle w:val="Heading1"/>
      </w:pPr>
      <w:r>
        <w:t>11. Roadmap, team, costs and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Stage</w:t>
            </w:r>
          </w:p>
        </w:tc>
        <w:tc>
          <w:tcPr>
            <w:tcW w:type="dxa" w:w="3360"/>
            <w:shd w:fill="12304A"/>
          </w:tcPr>
          <w:p>
            <w:r>
              <w:rPr>
                <w:b/>
                <w:color w:val="FFFFFF"/>
                <w:sz w:val="16"/>
              </w:rPr>
              <w:t>Indicative duration</w:t>
            </w:r>
          </w:p>
        </w:tc>
        <w:tc>
          <w:tcPr>
            <w:tcW w:type="dxa" w:w="3360"/>
            <w:shd w:fill="12304A"/>
          </w:tcPr>
          <w:p>
            <w:r>
              <w:rPr>
                <w:b/>
                <w:color w:val="FFFFFF"/>
                <w:sz w:val="16"/>
              </w:rPr>
              <w:t>Deliverable / exit condition</w:t>
            </w:r>
          </w:p>
        </w:tc>
      </w:tr>
      <w:tr>
        <w:tc>
          <w:tcPr>
            <w:tcW w:type="dxa" w:w="3360"/>
            <w:vAlign w:val="center"/>
          </w:tcPr>
          <w:p>
            <w:pPr>
              <w:spacing w:after="20"/>
            </w:pPr>
            <w:r>
              <w:rPr>
                <w:sz w:val="15"/>
              </w:rPr>
              <w:t>0. Validate</w:t>
            </w:r>
          </w:p>
        </w:tc>
        <w:tc>
          <w:tcPr>
            <w:tcW w:type="dxa" w:w="3360"/>
            <w:vAlign w:val="center"/>
          </w:tcPr>
          <w:p>
            <w:pPr>
              <w:spacing w:after="20"/>
            </w:pPr>
            <w:r>
              <w:rPr>
                <w:sz w:val="15"/>
              </w:rPr>
              <w:t>1–2 weeks</w:t>
            </w:r>
          </w:p>
        </w:tc>
        <w:tc>
          <w:tcPr>
            <w:tcW w:type="dxa" w:w="3360"/>
            <w:vAlign w:val="center"/>
          </w:tcPr>
          <w:p>
            <w:pPr>
              <w:spacing w:after="20"/>
            </w:pPr>
            <w:r>
              <w:rPr>
                <w:sz w:val="15"/>
              </w:rPr>
              <w:t>Interviews, survey, competitor audit, clickable flow; major workflow understood.</w:t>
            </w:r>
          </w:p>
        </w:tc>
      </w:tr>
      <w:tr>
        <w:tc>
          <w:tcPr>
            <w:tcW w:type="dxa" w:w="3360"/>
            <w:vAlign w:val="center"/>
            <w:shd w:fill="F1F5F8"/>
          </w:tcPr>
          <w:p>
            <w:pPr>
              <w:spacing w:after="20"/>
            </w:pPr>
            <w:r>
              <w:rPr>
                <w:sz w:val="15"/>
              </w:rPr>
              <w:t>1. Foundation</w:t>
            </w:r>
          </w:p>
        </w:tc>
        <w:tc>
          <w:tcPr>
            <w:tcW w:type="dxa" w:w="3360"/>
            <w:vAlign w:val="center"/>
            <w:shd w:fill="F1F5F8"/>
          </w:tcPr>
          <w:p>
            <w:pPr>
              <w:spacing w:after="20"/>
            </w:pPr>
            <w:r>
              <w:rPr>
                <w:sz w:val="15"/>
              </w:rPr>
              <w:t>1 week</w:t>
            </w:r>
          </w:p>
        </w:tc>
        <w:tc>
          <w:tcPr>
            <w:tcW w:type="dxa" w:w="3360"/>
            <w:vAlign w:val="center"/>
            <w:shd w:fill="F1F5F8"/>
          </w:tcPr>
          <w:p>
            <w:pPr>
              <w:spacing w:after="20"/>
            </w:pPr>
            <w:r>
              <w:rPr>
                <w:sz w:val="15"/>
              </w:rPr>
              <w:t>App setup, data model, localization structure and security rules tested.</w:t>
            </w:r>
          </w:p>
        </w:tc>
      </w:tr>
      <w:tr>
        <w:tc>
          <w:tcPr>
            <w:tcW w:type="dxa" w:w="3360"/>
            <w:vAlign w:val="center"/>
          </w:tcPr>
          <w:p>
            <w:pPr>
              <w:spacing w:after="20"/>
            </w:pPr>
            <w:r>
              <w:rPr>
                <w:sz w:val="15"/>
              </w:rPr>
              <w:t>2. Core money flows</w:t>
            </w:r>
          </w:p>
        </w:tc>
        <w:tc>
          <w:tcPr>
            <w:tcW w:type="dxa" w:w="3360"/>
            <w:vAlign w:val="center"/>
          </w:tcPr>
          <w:p>
            <w:pPr>
              <w:spacing w:after="20"/>
            </w:pPr>
            <w:r>
              <w:rPr>
                <w:sz w:val="15"/>
              </w:rPr>
              <w:t>2–3 weeks</w:t>
            </w:r>
          </w:p>
        </w:tc>
        <w:tc>
          <w:tcPr>
            <w:tcW w:type="dxa" w:w="3360"/>
            <w:vAlign w:val="center"/>
          </w:tcPr>
          <w:p>
            <w:pPr>
              <w:spacing w:after="20"/>
            </w:pPr>
            <w:r>
              <w:rPr>
                <w:sz w:val="15"/>
              </w:rPr>
              <w:t>Transactions, categories, budget and savings tracker pass key tests.</w:t>
            </w:r>
          </w:p>
        </w:tc>
      </w:tr>
      <w:tr>
        <w:tc>
          <w:tcPr>
            <w:tcW w:type="dxa" w:w="3360"/>
            <w:vAlign w:val="center"/>
            <w:shd w:fill="F1F5F8"/>
          </w:tcPr>
          <w:p>
            <w:pPr>
              <w:spacing w:after="20"/>
            </w:pPr>
            <w:r>
              <w:rPr>
                <w:sz w:val="15"/>
              </w:rPr>
              <w:t>3. Signature planner</w:t>
            </w:r>
          </w:p>
        </w:tc>
        <w:tc>
          <w:tcPr>
            <w:tcW w:type="dxa" w:w="3360"/>
            <w:vAlign w:val="center"/>
            <w:shd w:fill="F1F5F8"/>
          </w:tcPr>
          <w:p>
            <w:pPr>
              <w:spacing w:after="20"/>
            </w:pPr>
            <w:r>
              <w:rPr>
                <w:sz w:val="15"/>
              </w:rPr>
              <w:t>1–2 weeks</w:t>
            </w:r>
          </w:p>
        </w:tc>
        <w:tc>
          <w:tcPr>
            <w:tcW w:type="dxa" w:w="3360"/>
            <w:vAlign w:val="center"/>
            <w:shd w:fill="F1F5F8"/>
          </w:tcPr>
          <w:p>
            <w:pPr>
              <w:spacing w:after="20"/>
            </w:pPr>
            <w:r>
              <w:rPr>
                <w:sz w:val="15"/>
              </w:rPr>
              <w:t>Runway, irregular income and Survival Mode tested on edge cases.</w:t>
            </w:r>
          </w:p>
        </w:tc>
      </w:tr>
      <w:tr>
        <w:tc>
          <w:tcPr>
            <w:tcW w:type="dxa" w:w="3360"/>
            <w:vAlign w:val="center"/>
          </w:tcPr>
          <w:p>
            <w:pPr>
              <w:spacing w:after="20"/>
            </w:pPr>
            <w:r>
              <w:rPr>
                <w:sz w:val="15"/>
              </w:rPr>
              <w:t>4. Access and learning</w:t>
            </w:r>
          </w:p>
        </w:tc>
        <w:tc>
          <w:tcPr>
            <w:tcW w:type="dxa" w:w="3360"/>
            <w:vAlign w:val="center"/>
          </w:tcPr>
          <w:p>
            <w:pPr>
              <w:spacing w:after="20"/>
            </w:pPr>
            <w:r>
              <w:rPr>
                <w:sz w:val="15"/>
              </w:rPr>
              <w:t>1–2 weeks</w:t>
            </w:r>
          </w:p>
        </w:tc>
        <w:tc>
          <w:tcPr>
            <w:tcW w:type="dxa" w:w="3360"/>
            <w:vAlign w:val="center"/>
          </w:tcPr>
          <w:p>
            <w:pPr>
              <w:spacing w:after="20"/>
            </w:pPr>
            <w:r>
              <w:rPr>
                <w:sz w:val="15"/>
              </w:rPr>
              <w:t>Five-language critical flows; starter lessons and quiz reviewed.</w:t>
            </w:r>
          </w:p>
        </w:tc>
      </w:tr>
      <w:tr>
        <w:tc>
          <w:tcPr>
            <w:tcW w:type="dxa" w:w="3360"/>
            <w:vAlign w:val="center"/>
            <w:shd w:fill="F1F5F8"/>
          </w:tcPr>
          <w:p>
            <w:pPr>
              <w:spacing w:after="20"/>
            </w:pPr>
            <w:r>
              <w:rPr>
                <w:sz w:val="15"/>
              </w:rPr>
              <w:t>5. Pilot hardening</w:t>
            </w:r>
          </w:p>
        </w:tc>
        <w:tc>
          <w:tcPr>
            <w:tcW w:type="dxa" w:w="3360"/>
            <w:vAlign w:val="center"/>
            <w:shd w:fill="F1F5F8"/>
          </w:tcPr>
          <w:p>
            <w:pPr>
              <w:spacing w:after="20"/>
            </w:pPr>
            <w:r>
              <w:rPr>
                <w:sz w:val="15"/>
              </w:rPr>
              <w:t>1–2 weeks</w:t>
            </w:r>
          </w:p>
        </w:tc>
        <w:tc>
          <w:tcPr>
            <w:tcW w:type="dxa" w:w="3360"/>
            <w:vAlign w:val="center"/>
            <w:shd w:fill="F1F5F8"/>
          </w:tcPr>
          <w:p>
            <w:pPr>
              <w:spacing w:after="20"/>
            </w:pPr>
            <w:r>
              <w:rPr>
                <w:sz w:val="15"/>
              </w:rPr>
              <w:t>Bug fixes, privacy controls, monitoring and onboarding polish.</w:t>
            </w:r>
          </w:p>
        </w:tc>
      </w:tr>
      <w:tr>
        <w:tc>
          <w:tcPr>
            <w:tcW w:type="dxa" w:w="3360"/>
            <w:vAlign w:val="center"/>
          </w:tcPr>
          <w:p>
            <w:pPr>
              <w:spacing w:after="20"/>
            </w:pPr>
            <w:r>
              <w:rPr>
                <w:sz w:val="15"/>
              </w:rPr>
              <w:t>6. Pilot and iterate</w:t>
            </w:r>
          </w:p>
        </w:tc>
        <w:tc>
          <w:tcPr>
            <w:tcW w:type="dxa" w:w="3360"/>
            <w:vAlign w:val="center"/>
          </w:tcPr>
          <w:p>
            <w:pPr>
              <w:spacing w:after="20"/>
            </w:pPr>
            <w:r>
              <w:rPr>
                <w:sz w:val="15"/>
              </w:rPr>
              <w:t>2–4 weeks</w:t>
            </w:r>
          </w:p>
        </w:tc>
        <w:tc>
          <w:tcPr>
            <w:tcW w:type="dxa" w:w="3360"/>
            <w:vAlign w:val="center"/>
          </w:tcPr>
          <w:p>
            <w:pPr>
              <w:spacing w:after="20"/>
            </w:pPr>
            <w:r>
              <w:rPr>
                <w:sz w:val="15"/>
              </w:rPr>
              <w:t>Student pilot and prioritized improvements.</w:t>
            </w:r>
          </w:p>
        </w:tc>
      </w:tr>
    </w:tbl>
    <w:p/>
    <w:p>
      <w:r>
        <w:t>These are estimates for a small focused prototype, not a delivery guarantee. Actual time depends on team size, current code, skills and translation support.</w:t>
      </w:r>
    </w:p>
    <w:p>
      <w:pPr>
        <w:pStyle w:val="Heading2"/>
      </w:pPr>
      <w:r>
        <w:t>Minimum roles</w:t>
      </w:r>
    </w:p>
    <w:p>
      <w:pPr>
        <w:pStyle w:val="ListBullet"/>
        <w:spacing w:after="20"/>
      </w:pPr>
      <w:r>
        <w:t>Product owner who speaks with students and controls scope.</w:t>
      </w:r>
    </w:p>
    <w:p>
      <w:pPr>
        <w:pStyle w:val="ListBullet"/>
        <w:spacing w:after="20"/>
      </w:pPr>
      <w:r>
        <w:t>Developer who builds the app, data model and calculations.</w:t>
      </w:r>
    </w:p>
    <w:p>
      <w:pPr>
        <w:pStyle w:val="ListBullet"/>
        <w:spacing w:after="20"/>
      </w:pPr>
      <w:r>
        <w:t>Designer or UX-minded builder who tests on real phones.</w:t>
      </w:r>
    </w:p>
    <w:p>
      <w:pPr>
        <w:pStyle w:val="ListBullet"/>
        <w:spacing w:after="20"/>
      </w:pPr>
      <w:r>
        <w:t>Fluent language reviewers for Yoruba, Nigerian Pidgin, Igbo and Hausa.</w:t>
      </w:r>
    </w:p>
    <w:p>
      <w:pPr>
        <w:pStyle w:val="ListBullet"/>
        <w:spacing w:after="20"/>
      </w:pPr>
      <w:r>
        <w:t>Student testers with varied financial situations.</w:t>
      </w:r>
    </w:p>
    <w:p>
      <w:pPr>
        <w:pStyle w:val="ListBullet"/>
        <w:spacing w:after="20"/>
      </w:pPr>
      <w:r>
        <w:t>Security/privacy reviewer before public launch.</w:t>
      </w:r>
    </w:p>
    <w:p>
      <w:pPr>
        <w:pStyle w:val="Heading2"/>
      </w:pPr>
      <w:r>
        <w:t>Keep it affordable</w:t>
      </w:r>
    </w:p>
    <w:p>
      <w:pPr>
        <w:pStyle w:val="ListBullet"/>
        <w:spacing w:after="20"/>
      </w:pPr>
      <w:r>
        <w:t>Use a PWA before separate native apps.</w:t>
      </w:r>
    </w:p>
    <w:p>
      <w:pPr>
        <w:pStyle w:val="ListBullet"/>
        <w:spacing w:after="20"/>
      </w:pPr>
      <w:r>
        <w:t>Use manual entry before bank integration.</w:t>
      </w:r>
    </w:p>
    <w:p>
      <w:pPr>
        <w:pStyle w:val="ListBullet"/>
        <w:spacing w:after="20"/>
      </w:pPr>
      <w:r>
        <w:t>Use rules-based insights before AI.</w:t>
      </w:r>
    </w:p>
    <w:p>
      <w:pPr>
        <w:pStyle w:val="ListBullet"/>
        <w:spacing w:after="20"/>
      </w:pPr>
      <w:r>
        <w:t>Use scenario cards before a complex market engine.</w:t>
      </w:r>
    </w:p>
    <w:p>
      <w:pPr>
        <w:pStyle w:val="ListBullet"/>
        <w:spacing w:after="20"/>
      </w:pPr>
      <w:r>
        <w:t>Build one clean dashboard, not a large analytics suite.</w:t>
      </w:r>
    </w:p>
    <w:p>
      <w:pPr>
        <w:pStyle w:val="ListBullet"/>
        <w:spacing w:after="20"/>
      </w:pPr>
      <w:r>
        <w:t>Pilot with one or a few institutions before broad marketing.</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Risk</w:t>
            </w:r>
          </w:p>
        </w:tc>
        <w:tc>
          <w:tcPr>
            <w:tcW w:type="dxa" w:w="5040"/>
            <w:shd w:fill="12304A"/>
          </w:tcPr>
          <w:p>
            <w:r>
              <w:rPr>
                <w:b/>
                <w:color w:val="FFFFFF"/>
                <w:sz w:val="16"/>
              </w:rPr>
              <w:t>Response</w:t>
            </w:r>
          </w:p>
        </w:tc>
      </w:tr>
      <w:tr>
        <w:tc>
          <w:tcPr>
            <w:tcW w:type="dxa" w:w="5040"/>
            <w:vAlign w:val="center"/>
          </w:tcPr>
          <w:p>
            <w:pPr>
              <w:spacing w:after="20"/>
            </w:pPr>
            <w:r>
              <w:rPr>
                <w:sz w:val="15"/>
              </w:rPr>
              <w:t>Students stop logging expenses</w:t>
            </w:r>
          </w:p>
        </w:tc>
        <w:tc>
          <w:tcPr>
            <w:tcW w:type="dxa" w:w="5040"/>
            <w:vAlign w:val="center"/>
          </w:tcPr>
          <w:p>
            <w:pPr>
              <w:spacing w:after="20"/>
            </w:pPr>
            <w:r>
              <w:rPr>
                <w:sz w:val="15"/>
              </w:rPr>
              <w:t>Make entry quick; allow correction; label plans as based on entered data.</w:t>
            </w:r>
          </w:p>
        </w:tc>
      </w:tr>
      <w:tr>
        <w:tc>
          <w:tcPr>
            <w:tcW w:type="dxa" w:w="5040"/>
            <w:vAlign w:val="center"/>
            <w:shd w:fill="F1F5F8"/>
          </w:tcPr>
          <w:p>
            <w:pPr>
              <w:spacing w:after="20"/>
            </w:pPr>
            <w:r>
              <w:rPr>
                <w:sz w:val="15"/>
              </w:rPr>
              <w:t>Scope expands too much</w:t>
            </w:r>
          </w:p>
        </w:tc>
        <w:tc>
          <w:tcPr>
            <w:tcW w:type="dxa" w:w="5040"/>
            <w:vAlign w:val="center"/>
            <w:shd w:fill="F1F5F8"/>
          </w:tcPr>
          <w:p>
            <w:pPr>
              <w:spacing w:after="20"/>
            </w:pPr>
            <w:r>
              <w:rPr>
                <w:sz w:val="15"/>
              </w:rPr>
              <w:t>Protect P0 features; postpone AI, bank integrations and social features.</w:t>
            </w:r>
          </w:p>
        </w:tc>
      </w:tr>
      <w:tr>
        <w:tc>
          <w:tcPr>
            <w:tcW w:type="dxa" w:w="5040"/>
            <w:vAlign w:val="center"/>
          </w:tcPr>
          <w:p>
            <w:pPr>
              <w:spacing w:after="20"/>
            </w:pPr>
            <w:r>
              <w:rPr>
                <w:sz w:val="15"/>
              </w:rPr>
              <w:t>Poor translation</w:t>
            </w:r>
          </w:p>
        </w:tc>
        <w:tc>
          <w:tcPr>
            <w:tcW w:type="dxa" w:w="5040"/>
            <w:vAlign w:val="center"/>
          </w:tcPr>
          <w:p>
            <w:pPr>
              <w:spacing w:after="20"/>
            </w:pPr>
            <w:r>
              <w:rPr>
                <w:sz w:val="15"/>
              </w:rPr>
              <w:t>Use fluent review and comprehension testing.</w:t>
            </w:r>
          </w:p>
        </w:tc>
      </w:tr>
      <w:tr>
        <w:tc>
          <w:tcPr>
            <w:tcW w:type="dxa" w:w="5040"/>
            <w:vAlign w:val="center"/>
            <w:shd w:fill="F1F5F8"/>
          </w:tcPr>
          <w:p>
            <w:pPr>
              <w:spacing w:after="20"/>
            </w:pPr>
            <w:r>
              <w:rPr>
                <w:sz w:val="15"/>
              </w:rPr>
              <w:t>Daily guide mistaken for guarantee</w:t>
            </w:r>
          </w:p>
        </w:tc>
        <w:tc>
          <w:tcPr>
            <w:tcW w:type="dxa" w:w="5040"/>
            <w:vAlign w:val="center"/>
            <w:shd w:fill="F1F5F8"/>
          </w:tcPr>
          <w:p>
            <w:pPr>
              <w:spacing w:after="20"/>
            </w:pPr>
            <w:r>
              <w:rPr>
                <w:sz w:val="15"/>
              </w:rPr>
              <w:t>Show assumptions and planning period; update when circumstances change.</w:t>
            </w:r>
          </w:p>
        </w:tc>
      </w:tr>
      <w:tr>
        <w:tc>
          <w:tcPr>
            <w:tcW w:type="dxa" w:w="5040"/>
            <w:vAlign w:val="center"/>
          </w:tcPr>
          <w:p>
            <w:pPr>
              <w:spacing w:after="20"/>
            </w:pPr>
            <w:r>
              <w:rPr>
                <w:sz w:val="15"/>
              </w:rPr>
              <w:t>Data exposure</w:t>
            </w:r>
          </w:p>
        </w:tc>
        <w:tc>
          <w:tcPr>
            <w:tcW w:type="dxa" w:w="5040"/>
            <w:vAlign w:val="center"/>
          </w:tcPr>
          <w:p>
            <w:pPr>
              <w:spacing w:after="20"/>
            </w:pPr>
            <w:r>
              <w:rPr>
                <w:sz w:val="15"/>
              </w:rPr>
              <w:t>Minimize collection, enforce access rules and test security.</w:t>
            </w:r>
          </w:p>
        </w:tc>
      </w:tr>
      <w:tr>
        <w:tc>
          <w:tcPr>
            <w:tcW w:type="dxa" w:w="5040"/>
            <w:vAlign w:val="center"/>
            <w:shd w:fill="F1F5F8"/>
          </w:tcPr>
          <w:p>
            <w:pPr>
              <w:spacing w:after="20"/>
            </w:pPr>
            <w:r>
              <w:rPr>
                <w:sz w:val="15"/>
              </w:rPr>
              <w:t>Simulator implies certainty</w:t>
            </w:r>
          </w:p>
        </w:tc>
        <w:tc>
          <w:tcPr>
            <w:tcW w:type="dxa" w:w="5040"/>
            <w:vAlign w:val="center"/>
            <w:shd w:fill="F1F5F8"/>
          </w:tcPr>
          <w:p>
            <w:pPr>
              <w:spacing w:after="20"/>
            </w:pPr>
            <w:r>
              <w:rPr>
                <w:sz w:val="15"/>
              </w:rPr>
              <w:t>Show losses, use fictional data and label it clearly.</w:t>
            </w:r>
          </w:p>
        </w:tc>
      </w:tr>
      <w:tr>
        <w:tc>
          <w:tcPr>
            <w:tcW w:type="dxa" w:w="5040"/>
            <w:vAlign w:val="center"/>
          </w:tcPr>
          <w:p>
            <w:pPr>
              <w:spacing w:after="20"/>
            </w:pPr>
            <w:r>
              <w:rPr>
                <w:sz w:val="15"/>
              </w:rPr>
              <w:t>Similar competitor features</w:t>
            </w:r>
          </w:p>
        </w:tc>
        <w:tc>
          <w:tcPr>
            <w:tcW w:type="dxa" w:w="5040"/>
            <w:vAlign w:val="center"/>
          </w:tcPr>
          <w:p>
            <w:pPr>
              <w:spacing w:after="20"/>
            </w:pPr>
            <w:r>
              <w:rPr>
                <w:sz w:val="15"/>
              </w:rPr>
              <w:t>Differentiate through the student cash-flow workflow and comparative testing.</w:t>
            </w:r>
          </w:p>
        </w:tc>
      </w:tr>
      <w:tr>
        <w:tc>
          <w:tcPr>
            <w:tcW w:type="dxa" w:w="5040"/>
            <w:vAlign w:val="center"/>
            <w:shd w:fill="F1F5F8"/>
          </w:tcPr>
          <w:p>
            <w:pPr>
              <w:spacing w:after="20"/>
            </w:pPr>
            <w:r>
              <w:rPr>
                <w:sz w:val="15"/>
              </w:rPr>
              <w:t>Users expect real savings transfers</w:t>
            </w:r>
          </w:p>
        </w:tc>
        <w:tc>
          <w:tcPr>
            <w:tcW w:type="dxa" w:w="5040"/>
            <w:vAlign w:val="center"/>
            <w:shd w:fill="F1F5F8"/>
          </w:tcPr>
          <w:p>
            <w:pPr>
              <w:spacing w:after="20"/>
            </w:pPr>
            <w:r>
              <w:rPr>
                <w:sz w:val="15"/>
              </w:rPr>
              <w:t>State that goals are tracked, not held or transferred by SBMS.</w:t>
            </w:r>
          </w:p>
        </w:tc>
      </w:tr>
    </w:tbl>
    <w:p/>
    <w:p>
      <w:pPr>
        <w:pStyle w:val="Heading1"/>
      </w:pPr>
      <w:r>
        <w:t>12. Testing, metrics and launch</w:t>
      </w:r>
    </w:p>
    <w:p>
      <w:pPr>
        <w:pStyle w:val="Heading2"/>
      </w:pPr>
      <w:r>
        <w:t>MVP quality gates</w:t>
      </w:r>
    </w:p>
    <w:p>
      <w:pPr>
        <w:pStyle w:val="ListBullet"/>
        <w:spacing w:after="20"/>
      </w:pPr>
      <w:r>
        <w:t>No known critical data-access or calculation bugs before pilot.</w:t>
      </w:r>
    </w:p>
    <w:p>
      <w:pPr>
        <w:pStyle w:val="ListBullet"/>
        <w:spacing w:after="20"/>
      </w:pPr>
      <w:r>
        <w:t>Suggested initial target: 80% of pilot users create a plan without help; revise after evidence.</w:t>
      </w:r>
    </w:p>
    <w:p>
      <w:pPr>
        <w:pStyle w:val="ListBullet"/>
        <w:spacing w:after="20"/>
      </w:pPr>
      <w:r>
        <w:t>Test users can explain what the daily guide means and why it is not a guarantee.</w:t>
      </w:r>
    </w:p>
    <w:p>
      <w:pPr>
        <w:pStyle w:val="ListBullet"/>
        <w:spacing w:after="20"/>
      </w:pPr>
      <w:r>
        <w:t>Critical tasks work in all five supported languages or incomplete coverage is clearly disclosed.</w:t>
      </w:r>
    </w:p>
    <w:p>
      <w:pPr>
        <w:pStyle w:val="ListBullet"/>
        <w:spacing w:after="20"/>
      </w:pPr>
      <w:r>
        <w:t>Users can edit/delete an incorrect transaction.</w:t>
      </w:r>
    </w:p>
    <w:p>
      <w:pPr>
        <w:pStyle w:val="ListBullet"/>
        <w:spacing w:after="20"/>
      </w:pPr>
      <w:r>
        <w:t>Simulator labels virtual money and outcomes as hypothetical.</w:t>
      </w:r>
    </w:p>
    <w:p>
      <w:pPr>
        <w:pStyle w:val="ListBullet"/>
        <w:spacing w:after="20"/>
      </w:pPr>
      <w:r>
        <w:t>Privacy notice and appropriate data controls are available.</w:t>
      </w:r>
    </w:p>
    <w:p>
      <w:pPr>
        <w:pStyle w:val="Heading2"/>
      </w:pPr>
      <w:r>
        <w:t>Metrics to track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2304A"/>
          </w:tcPr>
          <w:p>
            <w:r>
              <w:rPr>
                <w:b/>
                <w:color w:val="FFFFFF"/>
                <w:sz w:val="16"/>
              </w:rPr>
              <w:t>Metric</w:t>
            </w:r>
          </w:p>
        </w:tc>
        <w:tc>
          <w:tcPr>
            <w:tcW w:type="dxa" w:w="3360"/>
            <w:shd w:fill="12304A"/>
          </w:tcPr>
          <w:p>
            <w:r>
              <w:rPr>
                <w:b/>
                <w:color w:val="FFFFFF"/>
                <w:sz w:val="16"/>
              </w:rPr>
              <w:t>Definition</w:t>
            </w:r>
          </w:p>
        </w:tc>
        <w:tc>
          <w:tcPr>
            <w:tcW w:type="dxa" w:w="3360"/>
            <w:shd w:fill="12304A"/>
          </w:tcPr>
          <w:p>
            <w:r>
              <w:rPr>
                <w:b/>
                <w:color w:val="FFFFFF"/>
                <w:sz w:val="16"/>
              </w:rPr>
              <w:t>Purpose</w:t>
            </w:r>
          </w:p>
        </w:tc>
      </w:tr>
      <w:tr>
        <w:tc>
          <w:tcPr>
            <w:tcW w:type="dxa" w:w="3360"/>
            <w:vAlign w:val="center"/>
          </w:tcPr>
          <w:p>
            <w:pPr>
              <w:spacing w:after="20"/>
            </w:pPr>
            <w:r>
              <w:rPr>
                <w:sz w:val="15"/>
              </w:rPr>
              <w:t>Activation</w:t>
            </w:r>
          </w:p>
        </w:tc>
        <w:tc>
          <w:tcPr>
            <w:tcW w:type="dxa" w:w="3360"/>
            <w:vAlign w:val="center"/>
          </w:tcPr>
          <w:p>
            <w:pPr>
              <w:spacing w:after="20"/>
            </w:pPr>
            <w:r>
              <w:rPr>
                <w:sz w:val="15"/>
              </w:rPr>
              <w:t>Share of new users who create a first plan.</w:t>
            </w:r>
          </w:p>
        </w:tc>
        <w:tc>
          <w:tcPr>
            <w:tcW w:type="dxa" w:w="3360"/>
            <w:vAlign w:val="center"/>
          </w:tcPr>
          <w:p>
            <w:pPr>
              <w:spacing w:after="20"/>
            </w:pPr>
            <w:r>
              <w:rPr>
                <w:sz w:val="15"/>
              </w:rPr>
              <w:t>Tests onboarding value.</w:t>
            </w:r>
          </w:p>
        </w:tc>
      </w:tr>
      <w:tr>
        <w:tc>
          <w:tcPr>
            <w:tcW w:type="dxa" w:w="3360"/>
            <w:vAlign w:val="center"/>
            <w:shd w:fill="F1F5F8"/>
          </w:tcPr>
          <w:p>
            <w:pPr>
              <w:spacing w:after="20"/>
            </w:pPr>
            <w:r>
              <w:rPr>
                <w:sz w:val="15"/>
              </w:rPr>
              <w:t>Time to first plan</w:t>
            </w:r>
          </w:p>
        </w:tc>
        <w:tc>
          <w:tcPr>
            <w:tcW w:type="dxa" w:w="3360"/>
            <w:vAlign w:val="center"/>
            <w:shd w:fill="F1F5F8"/>
          </w:tcPr>
          <w:p>
            <w:pPr>
              <w:spacing w:after="20"/>
            </w:pPr>
            <w:r>
              <w:rPr>
                <w:sz w:val="15"/>
              </w:rPr>
              <w:t>Time from opening to seeing a runway result.</w:t>
            </w:r>
          </w:p>
        </w:tc>
        <w:tc>
          <w:tcPr>
            <w:tcW w:type="dxa" w:w="3360"/>
            <w:vAlign w:val="center"/>
            <w:shd w:fill="F1F5F8"/>
          </w:tcPr>
          <w:p>
            <w:pPr>
              <w:spacing w:after="20"/>
            </w:pPr>
            <w:r>
              <w:rPr>
                <w:sz w:val="15"/>
              </w:rPr>
              <w:t>Tests simplicity.</w:t>
            </w:r>
          </w:p>
        </w:tc>
      </w:tr>
      <w:tr>
        <w:tc>
          <w:tcPr>
            <w:tcW w:type="dxa" w:w="3360"/>
            <w:vAlign w:val="center"/>
          </w:tcPr>
          <w:p>
            <w:pPr>
              <w:spacing w:after="20"/>
            </w:pPr>
            <w:r>
              <w:rPr>
                <w:sz w:val="15"/>
              </w:rPr>
              <w:t>Logging retention</w:t>
            </w:r>
          </w:p>
        </w:tc>
        <w:tc>
          <w:tcPr>
            <w:tcW w:type="dxa" w:w="3360"/>
            <w:vAlign w:val="center"/>
          </w:tcPr>
          <w:p>
            <w:pPr>
              <w:spacing w:after="20"/>
            </w:pPr>
            <w:r>
              <w:rPr>
                <w:sz w:val="15"/>
              </w:rPr>
              <w:t>Activated users recording expenses on multiple days in week one.</w:t>
            </w:r>
          </w:p>
        </w:tc>
        <w:tc>
          <w:tcPr>
            <w:tcW w:type="dxa" w:w="3360"/>
            <w:vAlign w:val="center"/>
          </w:tcPr>
          <w:p>
            <w:pPr>
              <w:spacing w:after="20"/>
            </w:pPr>
            <w:r>
              <w:rPr>
                <w:sz w:val="15"/>
              </w:rPr>
              <w:t>Tests habit sustainability.</w:t>
            </w:r>
          </w:p>
        </w:tc>
      </w:tr>
      <w:tr>
        <w:tc>
          <w:tcPr>
            <w:tcW w:type="dxa" w:w="3360"/>
            <w:vAlign w:val="center"/>
            <w:shd w:fill="F1F5F8"/>
          </w:tcPr>
          <w:p>
            <w:pPr>
              <w:spacing w:after="20"/>
            </w:pPr>
            <w:r>
              <w:rPr>
                <w:sz w:val="15"/>
              </w:rPr>
              <w:t>Plan refresh rate</w:t>
            </w:r>
          </w:p>
        </w:tc>
        <w:tc>
          <w:tcPr>
            <w:tcW w:type="dxa" w:w="3360"/>
            <w:vAlign w:val="center"/>
            <w:shd w:fill="F1F5F8"/>
          </w:tcPr>
          <w:p>
            <w:pPr>
              <w:spacing w:after="20"/>
            </w:pPr>
            <w:r>
              <w:rPr>
                <w:sz w:val="15"/>
              </w:rPr>
              <w:t>Users revisiting after an income/expense change.</w:t>
            </w:r>
          </w:p>
        </w:tc>
        <w:tc>
          <w:tcPr>
            <w:tcW w:type="dxa" w:w="3360"/>
            <w:vAlign w:val="center"/>
            <w:shd w:fill="F1F5F8"/>
          </w:tcPr>
          <w:p>
            <w:pPr>
              <w:spacing w:after="20"/>
            </w:pPr>
            <w:r>
              <w:rPr>
                <w:sz w:val="15"/>
              </w:rPr>
              <w:t>Tests signature-feature relevance.</w:t>
            </w:r>
          </w:p>
        </w:tc>
      </w:tr>
      <w:tr>
        <w:tc>
          <w:tcPr>
            <w:tcW w:type="dxa" w:w="3360"/>
            <w:vAlign w:val="center"/>
          </w:tcPr>
          <w:p>
            <w:pPr>
              <w:spacing w:after="20"/>
            </w:pPr>
            <w:r>
              <w:rPr>
                <w:sz w:val="15"/>
              </w:rPr>
              <w:t>Goal adoption</w:t>
            </w:r>
          </w:p>
        </w:tc>
        <w:tc>
          <w:tcPr>
            <w:tcW w:type="dxa" w:w="3360"/>
            <w:vAlign w:val="center"/>
          </w:tcPr>
          <w:p>
            <w:pPr>
              <w:spacing w:after="20"/>
            </w:pPr>
            <w:r>
              <w:rPr>
                <w:sz w:val="15"/>
              </w:rPr>
              <w:t>Users creating a goal; contribution logging measured separately.</w:t>
            </w:r>
          </w:p>
        </w:tc>
        <w:tc>
          <w:tcPr>
            <w:tcW w:type="dxa" w:w="3360"/>
            <w:vAlign w:val="center"/>
          </w:tcPr>
          <w:p>
            <w:pPr>
              <w:spacing w:after="20"/>
            </w:pPr>
            <w:r>
              <w:rPr>
                <w:sz w:val="15"/>
              </w:rPr>
              <w:t>Does not imply actual money moved.</w:t>
            </w:r>
          </w:p>
        </w:tc>
      </w:tr>
      <w:tr>
        <w:tc>
          <w:tcPr>
            <w:tcW w:type="dxa" w:w="3360"/>
            <w:vAlign w:val="center"/>
            <w:shd w:fill="F1F5F8"/>
          </w:tcPr>
          <w:p>
            <w:pPr>
              <w:spacing w:after="20"/>
            </w:pPr>
            <w:r>
              <w:rPr>
                <w:sz w:val="15"/>
              </w:rPr>
              <w:t>Task completion by language</w:t>
            </w:r>
          </w:p>
        </w:tc>
        <w:tc>
          <w:tcPr>
            <w:tcW w:type="dxa" w:w="3360"/>
            <w:vAlign w:val="center"/>
            <w:shd w:fill="F1F5F8"/>
          </w:tcPr>
          <w:p>
            <w:pPr>
              <w:spacing w:after="20"/>
            </w:pPr>
            <w:r>
              <w:rPr>
                <w:sz w:val="15"/>
              </w:rPr>
              <w:t>Completion and comprehension for the same task.</w:t>
            </w:r>
          </w:p>
        </w:tc>
        <w:tc>
          <w:tcPr>
            <w:tcW w:type="dxa" w:w="3360"/>
            <w:vAlign w:val="center"/>
            <w:shd w:fill="F1F5F8"/>
          </w:tcPr>
          <w:p>
            <w:pPr>
              <w:spacing w:after="20"/>
            </w:pPr>
            <w:r>
              <w:rPr>
                <w:sz w:val="15"/>
              </w:rPr>
              <w:t>Checks localization.</w:t>
            </w:r>
          </w:p>
        </w:tc>
      </w:tr>
      <w:tr>
        <w:tc>
          <w:tcPr>
            <w:tcW w:type="dxa" w:w="3360"/>
            <w:vAlign w:val="center"/>
          </w:tcPr>
          <w:p>
            <w:pPr>
              <w:spacing w:after="20"/>
            </w:pPr>
            <w:r>
              <w:rPr>
                <w:sz w:val="15"/>
              </w:rPr>
              <w:t>Learning gain</w:t>
            </w:r>
          </w:p>
        </w:tc>
        <w:tc>
          <w:tcPr>
            <w:tcW w:type="dxa" w:w="3360"/>
            <w:vAlign w:val="center"/>
          </w:tcPr>
          <w:p>
            <w:pPr>
              <w:spacing w:after="20"/>
            </w:pPr>
            <w:r>
              <w:rPr>
                <w:sz w:val="15"/>
              </w:rPr>
              <w:t>Difference between pre/post quiz scores.</w:t>
            </w:r>
          </w:p>
        </w:tc>
        <w:tc>
          <w:tcPr>
            <w:tcW w:type="dxa" w:w="3360"/>
            <w:vAlign w:val="center"/>
          </w:tcPr>
          <w:p>
            <w:pPr>
              <w:spacing w:after="20"/>
            </w:pPr>
            <w:r>
              <w:rPr>
                <w:sz w:val="15"/>
              </w:rPr>
              <w:t>Tests educational value.</w:t>
            </w:r>
          </w:p>
        </w:tc>
      </w:tr>
      <w:tr>
        <w:tc>
          <w:tcPr>
            <w:tcW w:type="dxa" w:w="3360"/>
            <w:vAlign w:val="center"/>
            <w:shd w:fill="F1F5F8"/>
          </w:tcPr>
          <w:p>
            <w:pPr>
              <w:spacing w:after="20"/>
            </w:pPr>
            <w:r>
              <w:rPr>
                <w:sz w:val="15"/>
              </w:rPr>
              <w:t>Trust and clarity</w:t>
            </w:r>
          </w:p>
        </w:tc>
        <w:tc>
          <w:tcPr>
            <w:tcW w:type="dxa" w:w="3360"/>
            <w:vAlign w:val="center"/>
            <w:shd w:fill="F1F5F8"/>
          </w:tcPr>
          <w:p>
            <w:pPr>
              <w:spacing w:after="20"/>
            </w:pPr>
            <w:r>
              <w:rPr>
                <w:sz w:val="15"/>
              </w:rPr>
              <w:t>User ratings on understanding and privacy confidence.</w:t>
            </w:r>
          </w:p>
        </w:tc>
        <w:tc>
          <w:tcPr>
            <w:tcW w:type="dxa" w:w="3360"/>
            <w:vAlign w:val="center"/>
            <w:shd w:fill="F1F5F8"/>
          </w:tcPr>
          <w:p>
            <w:pPr>
              <w:spacing w:after="20"/>
            </w:pPr>
            <w:r>
              <w:rPr>
                <w:sz w:val="15"/>
              </w:rPr>
              <w:t>Protects credibility.</w:t>
            </w:r>
          </w:p>
        </w:tc>
      </w:tr>
      <w:tr>
        <w:tc>
          <w:tcPr>
            <w:tcW w:type="dxa" w:w="3360"/>
            <w:vAlign w:val="center"/>
          </w:tcPr>
          <w:p>
            <w:pPr>
              <w:spacing w:after="20"/>
            </w:pPr>
            <w:r>
              <w:rPr>
                <w:sz w:val="15"/>
              </w:rPr>
              <w:t>Error rate</w:t>
            </w:r>
          </w:p>
        </w:tc>
        <w:tc>
          <w:tcPr>
            <w:tcW w:type="dxa" w:w="3360"/>
            <w:vAlign w:val="center"/>
          </w:tcPr>
          <w:p>
            <w:pPr>
              <w:spacing w:after="20"/>
            </w:pPr>
            <w:r>
              <w:rPr>
                <w:sz w:val="15"/>
              </w:rPr>
              <w:t>Failures in core flows and calculations.</w:t>
            </w:r>
          </w:p>
        </w:tc>
        <w:tc>
          <w:tcPr>
            <w:tcW w:type="dxa" w:w="3360"/>
            <w:vAlign w:val="center"/>
          </w:tcPr>
          <w:p>
            <w:pPr>
              <w:spacing w:after="20"/>
            </w:pPr>
            <w:r>
              <w:rPr>
                <w:sz w:val="15"/>
              </w:rPr>
              <w:t>Measures reliability.</w:t>
            </w:r>
          </w:p>
        </w:tc>
      </w:tr>
    </w:tbl>
    <w:p/>
    <w:p>
      <w:r>
        <w:t>Set targets before the pilot and report sample size, timeframe and method. Do not claim SBMS reduces hardship or improves financial outcomes unless a suitable evaluation supports it.</w:t>
      </w:r>
    </w:p>
    <w:p>
      <w:pPr>
        <w:pStyle w:val="Heading2"/>
      </w:pPr>
      <w:r>
        <w:t>Launch plan</w:t>
      </w:r>
    </w:p>
    <w:p>
      <w:pPr>
        <w:pStyle w:val="ListBullet"/>
        <w:spacing w:after="20"/>
      </w:pPr>
      <w:r>
        <w:t>Start with a closed pilot through student associations, campus communities or a willing institution.</w:t>
      </w:r>
    </w:p>
    <w:p>
      <w:pPr>
        <w:pStyle w:val="ListBullet"/>
        <w:spacing w:after="20"/>
      </w:pPr>
      <w:r>
        <w:t>Offer demo mode before asking for financial details.</w:t>
      </w:r>
    </w:p>
    <w:p>
      <w:pPr>
        <w:pStyle w:val="ListBullet"/>
        <w:spacing w:after="20"/>
      </w:pPr>
      <w:r>
        <w:t>Demonstrate one relatable scenario: delayed allowance, surprise expense or planning the next week.</w:t>
      </w:r>
    </w:p>
    <w:p>
      <w:pPr>
        <w:pStyle w:val="ListBullet"/>
        <w:spacing w:after="20"/>
      </w:pPr>
      <w:r>
        <w:t>Interview users who stop returning as well as active users.</w:t>
      </w:r>
    </w:p>
    <w:p>
      <w:pPr>
        <w:pStyle w:val="ListBullet"/>
        <w:spacing w:after="20"/>
      </w:pPr>
      <w:r>
        <w:t>Explain what SBMS does not do: it does not hold money, guarantee savings or promise investment profits.</w:t>
      </w:r>
    </w:p>
    <w:p>
      <w:pPr>
        <w:pStyle w:val="ListBullet"/>
        <w:spacing w:after="20"/>
      </w:pPr>
      <w:r>
        <w:t>Publish only verified product claims and real pilot results.</w:t>
      </w:r>
    </w:p>
    <w:p>
      <w:pPr>
        <w:pStyle w:val="ListBullet"/>
        <w:spacing w:after="20"/>
      </w:pPr>
      <w:r>
        <w:t>Expand institution by institution after the core flow is reliable.</w:t>
      </w:r>
    </w:p>
    <w:p>
      <w:pPr>
        <w:pStyle w:val="Heading2"/>
      </w:pPr>
      <w:r>
        <w:t>Messaging examples</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Use</w:t>
            </w:r>
          </w:p>
        </w:tc>
        <w:tc>
          <w:tcPr>
            <w:tcW w:type="dxa" w:w="5040"/>
            <w:shd w:fill="12304A"/>
          </w:tcPr>
          <w:p>
            <w:r>
              <w:rPr>
                <w:b/>
                <w:color w:val="FFFFFF"/>
                <w:sz w:val="16"/>
              </w:rPr>
              <w:t>Copy</w:t>
            </w:r>
          </w:p>
        </w:tc>
      </w:tr>
      <w:tr>
        <w:tc>
          <w:tcPr>
            <w:tcW w:type="dxa" w:w="5040"/>
            <w:vAlign w:val="center"/>
          </w:tcPr>
          <w:p>
            <w:pPr>
              <w:spacing w:after="20"/>
            </w:pPr>
            <w:r>
              <w:rPr>
                <w:sz w:val="15"/>
              </w:rPr>
              <w:t>One-line pitch</w:t>
            </w:r>
          </w:p>
        </w:tc>
        <w:tc>
          <w:tcPr>
            <w:tcW w:type="dxa" w:w="5040"/>
            <w:vAlign w:val="center"/>
          </w:tcPr>
          <w:p>
            <w:pPr>
              <w:spacing w:after="20"/>
            </w:pPr>
            <w:r>
              <w:rPr>
                <w:sz w:val="15"/>
              </w:rPr>
              <w:t>SBMS helps students plan what they have, make it last until their next income and build better money habits.</w:t>
            </w:r>
          </w:p>
        </w:tc>
      </w:tr>
      <w:tr>
        <w:tc>
          <w:tcPr>
            <w:tcW w:type="dxa" w:w="5040"/>
            <w:vAlign w:val="center"/>
            <w:shd w:fill="F1F5F8"/>
          </w:tcPr>
          <w:p>
            <w:pPr>
              <w:spacing w:after="20"/>
            </w:pPr>
            <w:r>
              <w:rPr>
                <w:sz w:val="15"/>
              </w:rPr>
              <w:t>Demo hook</w:t>
            </w:r>
          </w:p>
        </w:tc>
        <w:tc>
          <w:tcPr>
            <w:tcW w:type="dxa" w:w="5040"/>
            <w:vAlign w:val="center"/>
            <w:shd w:fill="F1F5F8"/>
          </w:tcPr>
          <w:p>
            <w:pPr>
              <w:spacing w:after="20"/>
            </w:pPr>
            <w:r>
              <w:rPr>
                <w:sz w:val="15"/>
              </w:rPr>
              <w:t>Allowance coming late? See what you can protect, what you can adjust and how long your current plan may last.</w:t>
            </w:r>
          </w:p>
        </w:tc>
      </w:tr>
      <w:tr>
        <w:tc>
          <w:tcPr>
            <w:tcW w:type="dxa" w:w="5040"/>
            <w:vAlign w:val="center"/>
          </w:tcPr>
          <w:p>
            <w:pPr>
              <w:spacing w:after="20"/>
            </w:pPr>
            <w:r>
              <w:rPr>
                <w:sz w:val="15"/>
              </w:rPr>
              <w:t>Trust message</w:t>
            </w:r>
          </w:p>
        </w:tc>
        <w:tc>
          <w:tcPr>
            <w:tcW w:type="dxa" w:w="5040"/>
            <w:vAlign w:val="center"/>
          </w:tcPr>
          <w:p>
            <w:pPr>
              <w:spacing w:after="20"/>
            </w:pPr>
            <w:r>
              <w:rPr>
                <w:sz w:val="15"/>
              </w:rPr>
              <w:t>Your plan uses the information you enter. Costs can change, so check and update it.</w:t>
            </w:r>
          </w:p>
        </w:tc>
      </w:tr>
      <w:tr>
        <w:tc>
          <w:tcPr>
            <w:tcW w:type="dxa" w:w="5040"/>
            <w:vAlign w:val="center"/>
            <w:shd w:fill="F1F5F8"/>
          </w:tcPr>
          <w:p>
            <w:pPr>
              <w:spacing w:after="20"/>
            </w:pPr>
            <w:r>
              <w:rPr>
                <w:sz w:val="15"/>
              </w:rPr>
              <w:t>Savings message</w:t>
            </w:r>
          </w:p>
        </w:tc>
        <w:tc>
          <w:tcPr>
            <w:tcW w:type="dxa" w:w="5040"/>
            <w:vAlign w:val="center"/>
            <w:shd w:fill="F1F5F8"/>
          </w:tcPr>
          <w:p>
            <w:pPr>
              <w:spacing w:after="20"/>
            </w:pPr>
            <w:r>
              <w:rPr>
                <w:sz w:val="15"/>
              </w:rPr>
              <w:t>Start with a goal that fits your budget. Small steps count, and essentials come first.</w:t>
            </w:r>
          </w:p>
        </w:tc>
      </w:tr>
    </w:tbl>
    <w:p/>
    <w:p>
      <w:pPr>
        <w:pStyle w:val="Heading1"/>
      </w:pPr>
      <w:r>
        <w:t>13. Survey, interview and pilot instruments</w:t>
      </w:r>
    </w:p>
    <w:p>
      <w:pPr>
        <w:pStyle w:val="Heading2"/>
      </w:pPr>
      <w:r>
        <w:t>Student needs-assessment survey</w:t>
      </w:r>
    </w:p>
    <w:p>
      <w:pPr>
        <w:pStyle w:val="ListBullet"/>
        <w:spacing w:after="20"/>
      </w:pPr>
      <w:r>
        <w:t>Institution type and year/level of study.</w:t>
      </w:r>
    </w:p>
    <w:p>
      <w:pPr>
        <w:pStyle w:val="ListBullet"/>
        <w:spacing w:after="20"/>
      </w:pPr>
      <w:r>
        <w:t>How do you usually receive money: weekly/monthly allowance, irregular support, job, business, scholarship, combination or other?</w:t>
      </w:r>
    </w:p>
    <w:p>
      <w:pPr>
        <w:pStyle w:val="ListBullet"/>
        <w:spacing w:after="20"/>
      </w:pPr>
      <w:r>
        <w:t>How predictable is the date you receive money?</w:t>
      </w:r>
    </w:p>
    <w:p>
      <w:pPr>
        <w:pStyle w:val="ListBullet"/>
        <w:spacing w:after="20"/>
      </w:pPr>
      <w:r>
        <w:t>How often does your money run out before more arrives?</w:t>
      </w:r>
    </w:p>
    <w:p>
      <w:pPr>
        <w:pStyle w:val="ListBullet"/>
        <w:spacing w:after="20"/>
      </w:pPr>
      <w:r>
        <w:t>Do you create a budget, and how often do you record/review spending?</w:t>
      </w:r>
    </w:p>
    <w:p>
      <w:pPr>
        <w:pStyle w:val="ListBullet"/>
        <w:spacing w:after="20"/>
      </w:pPr>
      <w:r>
        <w:t>How often do you save some of the money you receive?</w:t>
      </w:r>
    </w:p>
    <w:p>
      <w:pPr>
        <w:pStyle w:val="ListBullet"/>
        <w:spacing w:after="20"/>
      </w:pPr>
      <w:r>
        <w:t>Biggest obstacle to saving: insufficient income, unexpected expenses, impulse spending, unclear goal or other?</w:t>
      </w:r>
    </w:p>
    <w:p>
      <w:pPr>
        <w:pStyle w:val="ListBullet"/>
        <w:spacing w:after="20"/>
      </w:pPr>
      <w:r>
        <w:t>Which expenses are hardest to plan for?</w:t>
      </w:r>
    </w:p>
    <w:p>
      <w:pPr>
        <w:pStyle w:val="ListBullet"/>
        <w:spacing w:after="20"/>
      </w:pPr>
      <w:r>
        <w:t>Preferred interface language and preferred language for financial explanations.</w:t>
      </w:r>
    </w:p>
    <w:p>
      <w:pPr>
        <w:pStyle w:val="ListBullet"/>
        <w:spacing w:after="20"/>
      </w:pPr>
      <w:r>
        <w:t>Would a daily/weekly spending guide be useful? Why?</w:t>
      </w:r>
    </w:p>
    <w:p>
      <w:pPr>
        <w:pStyle w:val="ListBullet"/>
        <w:spacing w:after="20"/>
      </w:pPr>
      <w:r>
        <w:t>Would you use a tool to re-plan after a delay or surprise expense?</w:t>
      </w:r>
    </w:p>
    <w:p>
      <w:pPr>
        <w:pStyle w:val="ListBullet"/>
        <w:spacing w:after="20"/>
      </w:pPr>
      <w:r>
        <w:t>What feature would you use first, and what would make you stop using it?</w:t>
      </w:r>
    </w:p>
    <w:p>
      <w:pPr>
        <w:pStyle w:val="Heading2"/>
      </w:pPr>
      <w:r>
        <w:t>Interview prompts</w:t>
      </w:r>
    </w:p>
    <w:p>
      <w:pPr>
        <w:pStyle w:val="ListBullet"/>
        <w:spacing w:after="20"/>
      </w:pPr>
      <w:r>
        <w:t>Tell me about the last time your money did not last as long as expected.</w:t>
      </w:r>
    </w:p>
    <w:p>
      <w:pPr>
        <w:pStyle w:val="ListBullet"/>
        <w:spacing w:after="20"/>
      </w:pPr>
      <w:r>
        <w:t>What did you do next, and what made it easier or harder?</w:t>
      </w:r>
    </w:p>
    <w:p>
      <w:pPr>
        <w:pStyle w:val="ListBullet"/>
        <w:spacing w:after="20"/>
      </w:pPr>
      <w:r>
        <w:t>How do you decide what amount is safe to spend today?</w:t>
      </w:r>
    </w:p>
    <w:p>
      <w:pPr>
        <w:pStyle w:val="ListBullet"/>
        <w:spacing w:after="20"/>
      </w:pPr>
      <w:r>
        <w:t>What tools or notes do you currently use?</w:t>
      </w:r>
    </w:p>
    <w:p>
      <w:pPr>
        <w:pStyle w:val="ListBullet"/>
        <w:spacing w:after="20"/>
      </w:pPr>
      <w:r>
        <w:t>What would you not trust a budgeting app to do?</w:t>
      </w:r>
    </w:p>
    <w:p>
      <w:pPr>
        <w:pStyle w:val="ListBullet"/>
        <w:spacing w:after="20"/>
      </w:pPr>
      <w:r>
        <w:t>Would you prefer to record every expense or only larger expenses? Why?</w:t>
      </w:r>
    </w:p>
    <w:p>
      <w:pPr>
        <w:pStyle w:val="ListBullet"/>
        <w:spacing w:after="20"/>
      </w:pPr>
      <w:r>
        <w:t>Look at this sample plan: what does the daily guide mean, and what is confusing?</w:t>
      </w:r>
    </w:p>
    <w:p>
      <w:pPr>
        <w:pStyle w:val="ListBullet"/>
        <w:spacing w:after="20"/>
      </w:pPr>
      <w:r>
        <w:t>Which language feels clearest for money and investment explanations?</w:t>
      </w:r>
    </w:p>
    <w:p>
      <w:pPr>
        <w:pStyle w:val="Heading2"/>
      </w:pPr>
      <w:r>
        <w:t>Pilot feedback form</w:t>
      </w:r>
    </w:p>
    <w:p>
      <w:pPr>
        <w:pStyle w:val="ListBullet"/>
        <w:spacing w:after="20"/>
      </w:pPr>
      <w:r>
        <w:t>Could you create a plan without help?</w:t>
      </w:r>
    </w:p>
    <w:p>
      <w:pPr>
        <w:pStyle w:val="ListBullet"/>
        <w:spacing w:after="20"/>
      </w:pPr>
      <w:r>
        <w:t>Was the runway guide clear (1–5)?</w:t>
      </w:r>
    </w:p>
    <w:p>
      <w:pPr>
        <w:pStyle w:val="ListBullet"/>
        <w:spacing w:after="20"/>
      </w:pPr>
      <w:r>
        <w:t>Did the app make wrong or confusing assumptions?</w:t>
      </w:r>
    </w:p>
    <w:p>
      <w:pPr>
        <w:pStyle w:val="ListBullet"/>
        <w:spacing w:after="20"/>
      </w:pPr>
      <w:r>
        <w:t>Which feature was most useful?</w:t>
      </w:r>
    </w:p>
    <w:p>
      <w:pPr>
        <w:pStyle w:val="ListBullet"/>
        <w:spacing w:after="20"/>
      </w:pPr>
      <w:r>
        <w:t>What was the most frustrating step?</w:t>
      </w:r>
    </w:p>
    <w:p>
      <w:pPr>
        <w:pStyle w:val="ListBullet"/>
        <w:spacing w:after="20"/>
      </w:pPr>
      <w:r>
        <w:t>Did you understand the guide is an estimate, not a guarantee?</w:t>
      </w:r>
    </w:p>
    <w:p>
      <w:pPr>
        <w:pStyle w:val="ListBullet"/>
        <w:spacing w:after="20"/>
      </w:pPr>
      <w:r>
        <w:t>Did you understand goal tracking does not itself transfer money?</w:t>
      </w:r>
    </w:p>
    <w:p>
      <w:pPr>
        <w:pStyle w:val="ListBullet"/>
        <w:spacing w:after="20"/>
      </w:pPr>
      <w:r>
        <w:t>Did the selected language feel natural?</w:t>
      </w:r>
    </w:p>
    <w:p>
      <w:pPr>
        <w:pStyle w:val="ListBullet"/>
        <w:spacing w:after="20"/>
      </w:pPr>
      <w:r>
        <w:t>Would you use it next week, and why?</w:t>
      </w:r>
    </w:p>
    <w:p>
      <w:pPr>
        <w:pStyle w:val="ListBullet"/>
        <w:spacing w:after="20"/>
      </w:pPr>
      <w:r>
        <w:t>What one change would make you use it more?</w:t>
      </w:r>
    </w:p>
    <w:p>
      <w:pPr>
        <w:pStyle w:val="Heading1"/>
      </w:pPr>
      <w:r>
        <w:t>14. Acceptance checklist and developer brief</w:t>
      </w:r>
    </w:p>
    <w:p>
      <w:pPr>
        <w:pStyle w:val="Heading2"/>
      </w:pPr>
      <w:r>
        <w:t>Build acceptance checklist</w:t>
      </w:r>
    </w:p>
    <w:p>
      <w:pPr>
        <w:pStyle w:val="ListBullet"/>
      </w:pPr>
      <w:r>
        <w:t>☐ Demo mode or minimal profile setup works.</w:t>
      </w:r>
    </w:p>
    <w:p>
      <w:pPr>
        <w:pStyle w:val="ListBullet"/>
      </w:pPr>
      <w:r>
        <w:t>☐ Language choice and language switching work across the core flow.</w:t>
      </w:r>
    </w:p>
    <w:p>
      <w:pPr>
        <w:pStyle w:val="ListBullet"/>
      </w:pPr>
      <w:r>
        <w:t>☐ Income and expenses can be added, edited and deleted.</w:t>
      </w:r>
    </w:p>
    <w:p>
      <w:pPr>
        <w:pStyle w:val="ListBullet"/>
      </w:pPr>
      <w:r>
        <w:t>☐ Category budgets show spent and remaining values.</w:t>
      </w:r>
    </w:p>
    <w:p>
      <w:pPr>
        <w:pStyle w:val="ListBullet"/>
      </w:pPr>
      <w:r>
        <w:t>☐ Savings goals track progress without implying money moved.</w:t>
      </w:r>
    </w:p>
    <w:p>
      <w:pPr>
        <w:pStyle w:val="ListBullet"/>
      </w:pPr>
      <w:r>
        <w:t>☐ Runway calculation handles missing data and unknown dates transparently.</w:t>
      </w:r>
    </w:p>
    <w:p>
      <w:pPr>
        <w:pStyle w:val="ListBullet"/>
      </w:pPr>
      <w:r>
        <w:t>☐ Protected essentials are separated from flexible spending.</w:t>
      </w:r>
    </w:p>
    <w:p>
      <w:pPr>
        <w:pStyle w:val="ListBullet"/>
      </w:pPr>
      <w:r>
        <w:t>☐ Survival Mode explains changes and avoids shaming.</w:t>
      </w:r>
    </w:p>
    <w:p>
      <w:pPr>
        <w:pStyle w:val="ListBullet"/>
      </w:pPr>
      <w:r>
        <w:t>☐ Expected income is not treated as available balance.</w:t>
      </w:r>
    </w:p>
    <w:p>
      <w:pPr>
        <w:pStyle w:val="ListBullet"/>
      </w:pPr>
      <w:r>
        <w:t>☐ Calculation edge cases have automated tests.</w:t>
      </w:r>
    </w:p>
    <w:p>
      <w:pPr>
        <w:pStyle w:val="ListBullet"/>
      </w:pPr>
      <w:r>
        <w:t>☐ Simulator uses fictional money and explains risk.</w:t>
      </w:r>
    </w:p>
    <w:p>
      <w:pPr>
        <w:pStyle w:val="ListBullet"/>
      </w:pPr>
      <w:r>
        <w:t>☐ Privacy notice and data controls are accessible.</w:t>
      </w:r>
    </w:p>
    <w:p>
      <w:pPr>
        <w:pStyle w:val="ListBullet"/>
      </w:pPr>
      <w:r>
        <w:t>☐ Backend access rules prevent cross-user data access.</w:t>
      </w:r>
    </w:p>
    <w:p>
      <w:pPr>
        <w:pStyle w:val="ListBullet"/>
      </w:pPr>
      <w:r>
        <w:t>☐ Common phone widths and slower connections are tested.</w:t>
      </w:r>
    </w:p>
    <w:p>
      <w:pPr>
        <w:pStyle w:val="ListBullet"/>
      </w:pPr>
      <w:r>
        <w:t>☐ Language reviewers approve critical financial and risk copy.</w:t>
      </w:r>
    </w:p>
    <w:p>
      <w:pPr>
        <w:pStyle w:val="ListBullet"/>
      </w:pPr>
      <w:r>
        <w:t>☐ Pilot metrics and feedback process are ready.</w:t>
      </w:r>
    </w:p>
    <w:p>
      <w:pPr>
        <w:pStyle w:val="Heading2"/>
      </w:pPr>
      <w:r>
        <w:t>Developer build brief</w:t>
      </w:r>
    </w:p>
    <w:p>
      <w:r>
        <w:t>Build a mobile-first SBMS PWA for Nigerian tertiary students. The first release supports manual income/expense recording, category budgeting, a savings-goal tracker and a transparent money-runway calculator that plans flexible spending between now and a user-selected income date or planning horizon. It supports English, Yoruba, Nigerian Pidgin, Igbo and Hausa across critical flows; lets users update irregular income; and includes a non-shaming low-balance plan. Use a secure managed backend with per-user access controls if cloud accounts are enabled. Add short financial lessons and a clearly separate virtual investment simulator after core calculations are stable. Do not implement bank integrations, real-money custody, pooled savings or real investments in the MVP. Prioritize correctness, clarity, accessibility, privacy and ease of use over feature volume.</w:t>
      </w:r>
    </w:p>
    <w:p>
      <w:pPr>
        <w:pStyle w:val="Heading2"/>
      </w:pPr>
      <w:r>
        <w:t>Decisions to confirm before development</w:t>
      </w:r>
    </w:p>
    <w:tbl>
      <w:tblPr>
        <w:tblStyle w:val="TableGrid"/>
        <w:tblW w:type="auto" w:w="0"/>
        <w:jc w:val="center"/>
        <w:tblLook w:firstColumn="1" w:firstRow="1" w:lastColumn="0" w:lastRow="0" w:noHBand="0" w:noVBand="1" w:val="04A0"/>
      </w:tblPr>
      <w:tblGrid>
        <w:gridCol w:w="5040"/>
        <w:gridCol w:w="5040"/>
      </w:tblGrid>
      <w:tr>
        <w:tc>
          <w:tcPr>
            <w:tcW w:type="dxa" w:w="5040"/>
            <w:shd w:fill="12304A"/>
          </w:tcPr>
          <w:p>
            <w:r>
              <w:rPr>
                <w:b/>
                <w:color w:val="FFFFFF"/>
                <w:sz w:val="16"/>
              </w:rPr>
              <w:t>Decision</w:t>
            </w:r>
          </w:p>
        </w:tc>
        <w:tc>
          <w:tcPr>
            <w:tcW w:type="dxa" w:w="5040"/>
            <w:shd w:fill="12304A"/>
          </w:tcPr>
          <w:p>
            <w:r>
              <w:rPr>
                <w:b/>
                <w:color w:val="FFFFFF"/>
                <w:sz w:val="16"/>
              </w:rPr>
              <w:t>Recommended default</w:t>
            </w:r>
          </w:p>
        </w:tc>
      </w:tr>
      <w:tr>
        <w:tc>
          <w:tcPr>
            <w:tcW w:type="dxa" w:w="5040"/>
            <w:vAlign w:val="center"/>
          </w:tcPr>
          <w:p>
            <w:pPr>
              <w:spacing w:after="20"/>
            </w:pPr>
            <w:r>
              <w:rPr>
                <w:sz w:val="15"/>
              </w:rPr>
              <w:t>Platform</w:t>
            </w:r>
          </w:p>
        </w:tc>
        <w:tc>
          <w:tcPr>
            <w:tcW w:type="dxa" w:w="5040"/>
            <w:vAlign w:val="center"/>
          </w:tcPr>
          <w:p>
            <w:pPr>
              <w:spacing w:after="20"/>
            </w:pPr>
            <w:r>
              <w:rPr>
                <w:sz w:val="15"/>
              </w:rPr>
              <w:t>Mobile-first PWA, shareable link and optional install.</w:t>
            </w:r>
          </w:p>
        </w:tc>
      </w:tr>
      <w:tr>
        <w:tc>
          <w:tcPr>
            <w:tcW w:type="dxa" w:w="5040"/>
            <w:vAlign w:val="center"/>
            <w:shd w:fill="F1F5F8"/>
          </w:tcPr>
          <w:p>
            <w:pPr>
              <w:spacing w:after="20"/>
            </w:pPr>
            <w:r>
              <w:rPr>
                <w:sz w:val="15"/>
              </w:rPr>
              <w:t>Accounts</w:t>
            </w:r>
          </w:p>
        </w:tc>
        <w:tc>
          <w:tcPr>
            <w:tcW w:type="dxa" w:w="5040"/>
            <w:vAlign w:val="center"/>
            <w:shd w:fill="F1F5F8"/>
          </w:tcPr>
          <w:p>
            <w:pPr>
              <w:spacing w:after="20"/>
            </w:pPr>
            <w:r>
              <w:rPr>
                <w:sz w:val="15"/>
              </w:rPr>
              <w:t>Demo mode plus simple account option if cloud sync is needed.</w:t>
            </w:r>
          </w:p>
        </w:tc>
      </w:tr>
      <w:tr>
        <w:tc>
          <w:tcPr>
            <w:tcW w:type="dxa" w:w="5040"/>
            <w:vAlign w:val="center"/>
          </w:tcPr>
          <w:p>
            <w:pPr>
              <w:spacing w:after="20"/>
            </w:pPr>
            <w:r>
              <w:rPr>
                <w:sz w:val="15"/>
              </w:rPr>
              <w:t>Offline support</w:t>
            </w:r>
          </w:p>
        </w:tc>
        <w:tc>
          <w:tcPr>
            <w:tcW w:type="dxa" w:w="5040"/>
            <w:vAlign w:val="center"/>
          </w:tcPr>
          <w:p>
            <w:pPr>
              <w:spacing w:after="20"/>
            </w:pPr>
            <w:r>
              <w:rPr>
                <w:sz w:val="15"/>
              </w:rPr>
              <w:t>Graceful handling where feasible; clearly label unsynced changes.</w:t>
            </w:r>
          </w:p>
        </w:tc>
      </w:tr>
      <w:tr>
        <w:tc>
          <w:tcPr>
            <w:tcW w:type="dxa" w:w="5040"/>
            <w:vAlign w:val="center"/>
            <w:shd w:fill="F1F5F8"/>
          </w:tcPr>
          <w:p>
            <w:pPr>
              <w:spacing w:after="20"/>
            </w:pPr>
            <w:r>
              <w:rPr>
                <w:sz w:val="15"/>
              </w:rPr>
              <w:t>Language release</w:t>
            </w:r>
          </w:p>
        </w:tc>
        <w:tc>
          <w:tcPr>
            <w:tcW w:type="dxa" w:w="5040"/>
            <w:vAlign w:val="center"/>
            <w:shd w:fill="F1F5F8"/>
          </w:tcPr>
          <w:p>
            <w:pPr>
              <w:spacing w:after="20"/>
            </w:pPr>
            <w:r>
              <w:rPr>
                <w:sz w:val="15"/>
              </w:rPr>
              <w:t>Critical flows in all five languages; expand lessons in reviewed batches.</w:t>
            </w:r>
          </w:p>
        </w:tc>
      </w:tr>
      <w:tr>
        <w:tc>
          <w:tcPr>
            <w:tcW w:type="dxa" w:w="5040"/>
            <w:vAlign w:val="center"/>
          </w:tcPr>
          <w:p>
            <w:pPr>
              <w:spacing w:after="20"/>
            </w:pPr>
            <w:r>
              <w:rPr>
                <w:sz w:val="15"/>
              </w:rPr>
              <w:t>Savings meaning</w:t>
            </w:r>
          </w:p>
        </w:tc>
        <w:tc>
          <w:tcPr>
            <w:tcW w:type="dxa" w:w="5040"/>
            <w:vAlign w:val="center"/>
          </w:tcPr>
          <w:p>
            <w:pPr>
              <w:spacing w:after="20"/>
            </w:pPr>
            <w:r>
              <w:rPr>
                <w:sz w:val="15"/>
              </w:rPr>
              <w:t>Goal tracking only; no money movement.</w:t>
            </w:r>
          </w:p>
        </w:tc>
      </w:tr>
      <w:tr>
        <w:tc>
          <w:tcPr>
            <w:tcW w:type="dxa" w:w="5040"/>
            <w:vAlign w:val="center"/>
            <w:shd w:fill="F1F5F8"/>
          </w:tcPr>
          <w:p>
            <w:pPr>
              <w:spacing w:after="20"/>
            </w:pPr>
            <w:r>
              <w:rPr>
                <w:sz w:val="15"/>
              </w:rPr>
              <w:t>Simulator</w:t>
            </w:r>
          </w:p>
        </w:tc>
        <w:tc>
          <w:tcPr>
            <w:tcW w:type="dxa" w:w="5040"/>
            <w:vAlign w:val="center"/>
            <w:shd w:fill="F1F5F8"/>
          </w:tcPr>
          <w:p>
            <w:pPr>
              <w:spacing w:after="20"/>
            </w:pPr>
            <w:r>
              <w:rPr>
                <w:sz w:val="15"/>
              </w:rPr>
              <w:t>Scenario-based virtual learning, no live trading.</w:t>
            </w:r>
          </w:p>
        </w:tc>
      </w:tr>
      <w:tr>
        <w:tc>
          <w:tcPr>
            <w:tcW w:type="dxa" w:w="5040"/>
            <w:vAlign w:val="center"/>
          </w:tcPr>
          <w:p>
            <w:pPr>
              <w:spacing w:after="20"/>
            </w:pPr>
            <w:r>
              <w:rPr>
                <w:sz w:val="15"/>
              </w:rPr>
              <w:t>Pilot</w:t>
            </w:r>
          </w:p>
        </w:tc>
        <w:tc>
          <w:tcPr>
            <w:tcW w:type="dxa" w:w="5040"/>
            <w:vAlign w:val="center"/>
          </w:tcPr>
          <w:p>
            <w:pPr>
              <w:spacing w:after="20"/>
            </w:pPr>
            <w:r>
              <w:rPr>
                <w:sz w:val="15"/>
              </w:rPr>
              <w:t>One to three institutions with varied student types.</w:t>
            </w:r>
          </w:p>
        </w:tc>
      </w:tr>
    </w:tbl>
    <w:p/>
    <w:p>
      <w:pPr>
        <w:pStyle w:val="Heading1"/>
      </w:pPr>
      <w:r>
        <w:t>15. References and assumptions</w:t>
      </w:r>
    </w:p>
    <w:p>
      <w:r>
        <w:t>The sources below were included in the earlier SBMS concept. Verify the original publications, figures, sample sizes, bibliographic details and access dates before academic submission, funding applications or public claims.</w:t>
      </w:r>
    </w:p>
    <w:p>
      <w:pPr>
        <w:pStyle w:val="ListBullet"/>
        <w:spacing w:after="20"/>
      </w:pPr>
      <w:r>
        <w:t>EFInA. Access to Financial Services in Nigeria 2023: Key Highlights. https://efina.org.ng/wp-content/uploads/2024/03/A2F-2023-Event-Day-Presentation-Version4-1.pdf</w:t>
      </w:r>
    </w:p>
    <w:p>
      <w:pPr>
        <w:pStyle w:val="ListBullet"/>
        <w:spacing w:after="20"/>
      </w:pPr>
      <w:r>
        <w:t>Bello, M. A. (2023). Financial Literacy Among Young Adults: An Empirical Analysis of Nigerian University Students. Bayero Journal of Management Sciences, 5(2), 217–235. https://femsbukjournals.org.ng/bjms/article/financial-literacy-among-young-adults-an-empirical-analysis-of-nigerian-university-students</w:t>
      </w:r>
    </w:p>
    <w:p>
      <w:pPr>
        <w:pStyle w:val="ListBullet"/>
        <w:spacing w:after="20"/>
      </w:pPr>
      <w:r>
        <w:t>Akinyede, O. M. (2019). Financial Literacy and Money Management Among Tertiary Institution Students: A Study of Selected Universities in Osun-State, Nigeria. Redeemer’s University repository record. https://repository.run.edu.ng/items/f6e3c945-2e03-481f-b804-916947e07b1c/full</w:t>
      </w:r>
    </w:p>
    <w:p>
      <w:pPr>
        <w:pStyle w:val="ListBullet"/>
        <w:spacing w:after="20"/>
      </w:pPr>
      <w:r>
        <w:t>EFInA. Research and Access to Financial Services in Nigeria surveys. https://efina.org.ng/research/</w:t>
      </w:r>
    </w:p>
    <w:p>
      <w:pPr>
        <w:pStyle w:val="Heading2"/>
      </w:pPr>
      <w:r>
        <w:t>Important assumptions</w:t>
      </w:r>
    </w:p>
    <w:p>
      <w:pPr>
        <w:pStyle w:val="ListBullet"/>
        <w:spacing w:after="20"/>
      </w:pPr>
      <w:r>
        <w:t>Initial target is Nigerian tertiary students; expansion is later.</w:t>
      </w:r>
    </w:p>
    <w:p>
      <w:pPr>
        <w:pStyle w:val="ListBullet"/>
        <w:spacing w:after="20"/>
      </w:pPr>
      <w:r>
        <w:t>Initial currency is NGN (₦).</w:t>
      </w:r>
    </w:p>
    <w:p>
      <w:pPr>
        <w:pStyle w:val="ListBullet"/>
        <w:spacing w:after="20"/>
      </w:pPr>
      <w:r>
        <w:t>SBMS starts as an educational budgeting/planning tool, not a financial institution or investment service.</w:t>
      </w:r>
    </w:p>
    <w:p>
      <w:pPr>
        <w:pStyle w:val="ListBullet"/>
        <w:spacing w:after="20"/>
      </w:pPr>
      <w:r>
        <w:t>All forecasts are estimates based on user-entered information, not certainty.</w:t>
      </w:r>
    </w:p>
    <w:p>
      <w:pPr>
        <w:pStyle w:val="ListBullet"/>
        <w:spacing w:after="20"/>
      </w:pPr>
      <w:r>
        <w:t>Timelines and priorities are recommendations, not guarantees.</w:t>
      </w:r>
    </w:p>
    <w:p>
      <w:pPr>
        <w:pStyle w:val="ListBullet"/>
        <w:spacing w:after="20"/>
      </w:pPr>
      <w:r>
        <w:t>No claim is made that SBMS is first, unique or proven to improve financial outcomes before testing.</w:t>
      </w:r>
    </w:p>
    <w:p>
      <w:pPr>
        <w:pStyle w:val="Heading1"/>
      </w:pPr>
      <w:r>
        <w:t>Final recommendation</w:t>
      </w:r>
    </w:p>
    <w:p>
      <w:r>
        <w:t>Build the runway planner first and make it genuinely helpful. A student should be able to open SBMS, understand available money, protect essential commitments, see a realistic short-term spending guide and update the plan when life changes. If that flow is fast, trustworthy, multilingual and used repeatedly, SBMS has a stronger foundation than a large app with many unfinished features. The winning strategy is focused execution, student evidence, safety and iteration—not feature count.</w:t>
      </w:r>
    </w:p>
    <w:p>
      <w:r>
        <w:br w:type="page"/>
      </w:r>
    </w:p>
    <w:p>
      <w:pPr>
        <w:pStyle w:val="Heading1"/>
      </w:pPr>
      <w:r>
        <w:t>16. Future enhancements and strategic partnerships</w:t>
      </w:r>
    </w:p>
    <w:p>
      <w:r>
        <w:t>This section describes a staged future for SBMS after the core product has been tested with students. These are options, not launch promises. Every enhancement should be justified by student demand, operational capacity, security readiness and the relevant legal or regulatory review.</w:t>
      </w:r>
    </w:p>
    <w:p>
      <w:pPr>
        <w:pStyle w:val="Heading2"/>
      </w:pPr>
      <w:r>
        <w:t>16.1 Future product roadmap</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2304A"/>
          </w:tcPr>
          <w:p>
            <w:r>
              <w:rPr>
                <w:b/>
                <w:color w:val="FFFFFF"/>
                <w:sz w:val="16"/>
              </w:rPr>
              <w:t>Phase</w:t>
            </w:r>
          </w:p>
        </w:tc>
        <w:tc>
          <w:tcPr>
            <w:tcW w:type="dxa" w:w="2520"/>
            <w:shd w:fill="12304A"/>
          </w:tcPr>
          <w:p>
            <w:r>
              <w:rPr>
                <w:b/>
                <w:color w:val="FFFFFF"/>
                <w:sz w:val="16"/>
              </w:rPr>
              <w:t>Enhancement</w:t>
            </w:r>
          </w:p>
        </w:tc>
        <w:tc>
          <w:tcPr>
            <w:tcW w:type="dxa" w:w="2520"/>
            <w:shd w:fill="12304A"/>
          </w:tcPr>
          <w:p>
            <w:r>
              <w:rPr>
                <w:b/>
                <w:color w:val="FFFFFF"/>
                <w:sz w:val="16"/>
              </w:rPr>
              <w:t>Potential student value</w:t>
            </w:r>
          </w:p>
        </w:tc>
        <w:tc>
          <w:tcPr>
            <w:tcW w:type="dxa" w:w="2520"/>
            <w:shd w:fill="12304A"/>
          </w:tcPr>
          <w:p>
            <w:r>
              <w:rPr>
                <w:b/>
                <w:color w:val="FFFFFF"/>
                <w:sz w:val="16"/>
              </w:rPr>
              <w:t>Prerequisites / guardrails</w:t>
            </w:r>
          </w:p>
        </w:tc>
      </w:tr>
      <w:tr>
        <w:tc>
          <w:tcPr>
            <w:tcW w:type="dxa" w:w="2520"/>
          </w:tcPr>
          <w:p>
            <w:pPr>
              <w:spacing w:after="20"/>
            </w:pPr>
            <w:r>
              <w:rPr>
                <w:sz w:val="16"/>
              </w:rPr>
              <w:t>Phase 1 — prove the core</w:t>
            </w:r>
          </w:p>
        </w:tc>
        <w:tc>
          <w:tcPr>
            <w:tcW w:type="dxa" w:w="2520"/>
          </w:tcPr>
          <w:p>
            <w:pPr>
              <w:spacing w:after="20"/>
            </w:pPr>
            <w:r>
              <w:rPr>
                <w:sz w:val="16"/>
              </w:rPr>
              <w:t>Improve runway planner, irregular-income planning, savings goals, multilingual quality and accessibility.</w:t>
            </w:r>
          </w:p>
        </w:tc>
        <w:tc>
          <w:tcPr>
            <w:tcW w:type="dxa" w:w="2520"/>
          </w:tcPr>
          <w:p>
            <w:pPr>
              <w:spacing w:after="20"/>
            </w:pPr>
            <w:r>
              <w:rPr>
                <w:sz w:val="16"/>
              </w:rPr>
              <w:t>Reliable everyday usefulness and trust.</w:t>
            </w:r>
          </w:p>
        </w:tc>
        <w:tc>
          <w:tcPr>
            <w:tcW w:type="dxa" w:w="2520"/>
          </w:tcPr>
          <w:p>
            <w:pPr>
              <w:spacing w:after="20"/>
            </w:pPr>
            <w:r>
              <w:rPr>
                <w:sz w:val="16"/>
              </w:rPr>
              <w:t>Pilot evidence, calculation tests, clear privacy practices.</w:t>
            </w:r>
          </w:p>
        </w:tc>
      </w:tr>
      <w:tr>
        <w:tc>
          <w:tcPr>
            <w:tcW w:type="dxa" w:w="2520"/>
            <w:shd w:fill="F1F5F8"/>
          </w:tcPr>
          <w:p>
            <w:pPr>
              <w:spacing w:after="20"/>
            </w:pPr>
            <w:r>
              <w:rPr>
                <w:sz w:val="16"/>
              </w:rPr>
              <w:t>Phase 2 — smarter planning</w:t>
            </w:r>
          </w:p>
        </w:tc>
        <w:tc>
          <w:tcPr>
            <w:tcW w:type="dxa" w:w="2520"/>
            <w:shd w:fill="F1F5F8"/>
          </w:tcPr>
          <w:p>
            <w:pPr>
              <w:spacing w:after="20"/>
            </w:pPr>
            <w:r>
              <w:rPr>
                <w:sz w:val="16"/>
              </w:rPr>
              <w:t>Personalized rules-based insights, recurring expense reminders, semester/term budget templates and emergency-cost scenarios.</w:t>
            </w:r>
          </w:p>
        </w:tc>
        <w:tc>
          <w:tcPr>
            <w:tcW w:type="dxa" w:w="2520"/>
            <w:shd w:fill="F1F5F8"/>
          </w:tcPr>
          <w:p>
            <w:pPr>
              <w:spacing w:after="20"/>
            </w:pPr>
            <w:r>
              <w:rPr>
                <w:sz w:val="16"/>
              </w:rPr>
              <w:t>Less manual planning and better anticipation of common student costs.</w:t>
            </w:r>
          </w:p>
        </w:tc>
        <w:tc>
          <w:tcPr>
            <w:tcW w:type="dxa" w:w="2520"/>
            <w:shd w:fill="F1F5F8"/>
          </w:tcPr>
          <w:p>
            <w:pPr>
              <w:spacing w:after="20"/>
            </w:pPr>
            <w:r>
              <w:rPr>
                <w:sz w:val="16"/>
              </w:rPr>
              <w:t>Accurate user-entered data; transparent rules; user-controlled reminders.</w:t>
            </w:r>
          </w:p>
        </w:tc>
      </w:tr>
      <w:tr>
        <w:tc>
          <w:tcPr>
            <w:tcW w:type="dxa" w:w="2520"/>
          </w:tcPr>
          <w:p>
            <w:pPr>
              <w:spacing w:after="20"/>
            </w:pPr>
            <w:r>
              <w:rPr>
                <w:sz w:val="16"/>
              </w:rPr>
              <w:t>Phase 3 — bank partnership discovery</w:t>
            </w:r>
          </w:p>
        </w:tc>
        <w:tc>
          <w:tcPr>
            <w:tcW w:type="dxa" w:w="2520"/>
          </w:tcPr>
          <w:p>
            <w:pPr>
              <w:spacing w:after="20"/>
            </w:pPr>
            <w:r>
              <w:rPr>
                <w:sz w:val="16"/>
              </w:rPr>
              <w:t>Explore a co-designed financial-wellness pilot with a bank or licensed financial institution.</w:t>
            </w:r>
          </w:p>
        </w:tc>
        <w:tc>
          <w:tcPr>
            <w:tcW w:type="dxa" w:w="2520"/>
          </w:tcPr>
          <w:p>
            <w:pPr>
              <w:spacing w:after="20"/>
            </w:pPr>
            <w:r>
              <w:rPr>
                <w:sz w:val="16"/>
              </w:rPr>
              <w:t>Potential access to financial education, account options or student-focused programmes.</w:t>
            </w:r>
          </w:p>
        </w:tc>
        <w:tc>
          <w:tcPr>
            <w:tcW w:type="dxa" w:w="2520"/>
          </w:tcPr>
          <w:p>
            <w:pPr>
              <w:spacing w:after="20"/>
            </w:pPr>
            <w:r>
              <w:rPr>
                <w:sz w:val="16"/>
              </w:rPr>
              <w:t>Written partner scope, due diligence, privacy/security review and clear user consent.</w:t>
            </w:r>
          </w:p>
        </w:tc>
      </w:tr>
      <w:tr>
        <w:tc>
          <w:tcPr>
            <w:tcW w:type="dxa" w:w="2520"/>
            <w:shd w:fill="F1F5F8"/>
          </w:tcPr>
          <w:p>
            <w:pPr>
              <w:spacing w:after="20"/>
            </w:pPr>
            <w:r>
              <w:rPr>
                <w:sz w:val="16"/>
              </w:rPr>
              <w:t>Phase 4 — opt-in account connectivity</w:t>
            </w:r>
          </w:p>
        </w:tc>
        <w:tc>
          <w:tcPr>
            <w:tcW w:type="dxa" w:w="2520"/>
            <w:shd w:fill="F1F5F8"/>
          </w:tcPr>
          <w:p>
            <w:pPr>
              <w:spacing w:after="20"/>
            </w:pPr>
            <w:r>
              <w:rPr>
                <w:sz w:val="16"/>
              </w:rPr>
              <w:t>If a suitable licensed partner and compliant technical route exist, allow users to view selected account information with explicit permission.</w:t>
            </w:r>
          </w:p>
        </w:tc>
        <w:tc>
          <w:tcPr>
            <w:tcW w:type="dxa" w:w="2520"/>
            <w:shd w:fill="F1F5F8"/>
          </w:tcPr>
          <w:p>
            <w:pPr>
              <w:spacing w:after="20"/>
            </w:pPr>
            <w:r>
              <w:rPr>
                <w:sz w:val="16"/>
              </w:rPr>
              <w:t>Less manual transaction entry and a more complete money picture.</w:t>
            </w:r>
          </w:p>
        </w:tc>
        <w:tc>
          <w:tcPr>
            <w:tcW w:type="dxa" w:w="2520"/>
            <w:shd w:fill="F1F5F8"/>
          </w:tcPr>
          <w:p>
            <w:pPr>
              <w:spacing w:after="20"/>
            </w:pPr>
            <w:r>
              <w:rPr>
                <w:sz w:val="16"/>
              </w:rPr>
              <w:t>Partner APIs, revocable consent, least-privilege access, secure token handling and incident response.</w:t>
            </w:r>
          </w:p>
        </w:tc>
      </w:tr>
      <w:tr>
        <w:tc>
          <w:tcPr>
            <w:tcW w:type="dxa" w:w="2520"/>
          </w:tcPr>
          <w:p>
            <w:pPr>
              <w:spacing w:after="20"/>
            </w:pPr>
            <w:r>
              <w:rPr>
                <w:sz w:val="16"/>
              </w:rPr>
              <w:t>Phase 5 — partner-enabled services</w:t>
            </w:r>
          </w:p>
        </w:tc>
        <w:tc>
          <w:tcPr>
            <w:tcW w:type="dxa" w:w="2520"/>
          </w:tcPr>
          <w:p>
            <w:pPr>
              <w:spacing w:after="20"/>
            </w:pPr>
            <w:r>
              <w:rPr>
                <w:sz w:val="16"/>
              </w:rPr>
              <w:t>Deep-link or refer users to suitable partner-provided savings or financial products, where appropriate.</w:t>
            </w:r>
          </w:p>
        </w:tc>
        <w:tc>
          <w:tcPr>
            <w:tcW w:type="dxa" w:w="2520"/>
          </w:tcPr>
          <w:p>
            <w:pPr>
              <w:spacing w:after="20"/>
            </w:pPr>
            <w:r>
              <w:rPr>
                <w:sz w:val="16"/>
              </w:rPr>
              <w:t>A path from learning and planning to optional real-world services.</w:t>
            </w:r>
          </w:p>
        </w:tc>
        <w:tc>
          <w:tcPr>
            <w:tcW w:type="dxa" w:w="2520"/>
          </w:tcPr>
          <w:p>
            <w:pPr>
              <w:spacing w:after="20"/>
            </w:pPr>
            <w:r>
              <w:rPr>
                <w:sz w:val="16"/>
              </w:rPr>
              <w:t>Transparent fees and eligibility, no misleading promises, partner accountability and regulatory review.</w:t>
            </w:r>
          </w:p>
        </w:tc>
      </w:tr>
      <w:tr>
        <w:tc>
          <w:tcPr>
            <w:tcW w:type="dxa" w:w="2520"/>
            <w:shd w:fill="F1F5F8"/>
          </w:tcPr>
          <w:p>
            <w:pPr>
              <w:spacing w:after="20"/>
            </w:pPr>
            <w:r>
              <w:rPr>
                <w:sz w:val="16"/>
              </w:rPr>
              <w:t>Phase 6 — institutional expansion</w:t>
            </w:r>
          </w:p>
        </w:tc>
        <w:tc>
          <w:tcPr>
            <w:tcW w:type="dxa" w:w="2520"/>
            <w:shd w:fill="F1F5F8"/>
          </w:tcPr>
          <w:p>
            <w:pPr>
              <w:spacing w:after="20"/>
            </w:pPr>
            <w:r>
              <w:rPr>
                <w:sz w:val="16"/>
              </w:rPr>
              <w:t>Offer optional financial-wellness workshops, dashboards with aggregated non-identifying insights, and campus partnerships.</w:t>
            </w:r>
          </w:p>
        </w:tc>
        <w:tc>
          <w:tcPr>
            <w:tcW w:type="dxa" w:w="2520"/>
            <w:shd w:fill="F1F5F8"/>
          </w:tcPr>
          <w:p>
            <w:pPr>
              <w:spacing w:after="20"/>
            </w:pPr>
            <w:r>
              <w:rPr>
                <w:sz w:val="16"/>
              </w:rPr>
              <w:t>Wider student reach and evidence of educational value.</w:t>
            </w:r>
          </w:p>
        </w:tc>
        <w:tc>
          <w:tcPr>
            <w:tcW w:type="dxa" w:w="2520"/>
            <w:shd w:fill="F1F5F8"/>
          </w:tcPr>
          <w:p>
            <w:pPr>
              <w:spacing w:after="20"/>
            </w:pPr>
            <w:r>
              <w:rPr>
                <w:sz w:val="16"/>
              </w:rPr>
              <w:t>Student privacy, minimum aggregation thresholds, no individual financial surveillance, clear institutional agreements.</w:t>
            </w:r>
          </w:p>
        </w:tc>
      </w:tr>
    </w:tbl>
    <w:p/>
    <w:p>
      <w:pPr>
        <w:pStyle w:val="Heading2"/>
      </w:pPr>
      <w:r>
        <w:t>16.2 Bank partnership strategy</w:t>
      </w:r>
    </w:p>
    <w:p>
      <w:r>
        <w:t>Banks should be approached as potential collaborators, not as a shortcut to launching financial services. SBMS should first demonstrate that students use and understand its planning tools. A bank partnership must strengthen the student experience without turning SBMS into an unlicensed deposit-taking, payments or investment business.</w:t>
      </w:r>
    </w:p>
    <w:p>
      <w:pPr>
        <w:pStyle w:val="Heading3"/>
      </w:pPr>
      <w:r>
        <w:t>Possible partnership models</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6"/>
              </w:rPr>
              <w:t>Model</w:t>
            </w:r>
          </w:p>
        </w:tc>
        <w:tc>
          <w:tcPr>
            <w:tcW w:type="dxa" w:w="3360"/>
            <w:shd w:fill="12304A"/>
          </w:tcPr>
          <w:p>
            <w:r>
              <w:rPr>
                <w:b/>
                <w:color w:val="FFFFFF"/>
                <w:sz w:val="16"/>
              </w:rPr>
              <w:t>How it could work</w:t>
            </w:r>
          </w:p>
        </w:tc>
        <w:tc>
          <w:tcPr>
            <w:tcW w:type="dxa" w:w="3360"/>
            <w:shd w:fill="12304A"/>
          </w:tcPr>
          <w:p>
            <w:r>
              <w:rPr>
                <w:b/>
                <w:color w:val="FFFFFF"/>
                <w:sz w:val="16"/>
              </w:rPr>
              <w:t>Best time to explore</w:t>
            </w:r>
          </w:p>
        </w:tc>
      </w:tr>
      <w:tr>
        <w:tc>
          <w:tcPr>
            <w:tcW w:type="dxa" w:w="3360"/>
          </w:tcPr>
          <w:p>
            <w:pPr>
              <w:spacing w:after="20"/>
            </w:pPr>
            <w:r>
              <w:rPr>
                <w:sz w:val="16"/>
              </w:rPr>
              <w:t>Financial education partner</w:t>
            </w:r>
          </w:p>
        </w:tc>
        <w:tc>
          <w:tcPr>
            <w:tcW w:type="dxa" w:w="3360"/>
          </w:tcPr>
          <w:p>
            <w:pPr>
              <w:spacing w:after="20"/>
            </w:pPr>
            <w:r>
              <w:rPr>
                <w:sz w:val="16"/>
              </w:rPr>
              <w:t>A bank supports reviewed lessons, campus workshops or student money-management campaigns. SBMS retains editorial independence and clearly labels sponsorship.</w:t>
            </w:r>
          </w:p>
        </w:tc>
        <w:tc>
          <w:tcPr>
            <w:tcW w:type="dxa" w:w="3360"/>
          </w:tcPr>
          <w:p>
            <w:pPr>
              <w:spacing w:after="20"/>
            </w:pPr>
            <w:r>
              <w:rPr>
                <w:sz w:val="16"/>
              </w:rPr>
              <w:t>Earliest partnership option, after a credible prototype and lesson review.</w:t>
            </w:r>
          </w:p>
        </w:tc>
      </w:tr>
      <w:tr>
        <w:tc>
          <w:tcPr>
            <w:tcW w:type="dxa" w:w="3360"/>
            <w:shd w:fill="F1F5F8"/>
          </w:tcPr>
          <w:p>
            <w:pPr>
              <w:spacing w:after="20"/>
            </w:pPr>
            <w:r>
              <w:rPr>
                <w:sz w:val="16"/>
              </w:rPr>
              <w:t>Student account referral</w:t>
            </w:r>
          </w:p>
        </w:tc>
        <w:tc>
          <w:tcPr>
            <w:tcW w:type="dxa" w:w="3360"/>
            <w:shd w:fill="F1F5F8"/>
          </w:tcPr>
          <w:p>
            <w:pPr>
              <w:spacing w:after="20"/>
            </w:pPr>
            <w:r>
              <w:rPr>
                <w:sz w:val="16"/>
              </w:rPr>
              <w:t>SBMS provides an optional link to an eligible account offered by a licensed partner. The bank owns onboarding, eligibility checks and account terms.</w:t>
            </w:r>
          </w:p>
        </w:tc>
        <w:tc>
          <w:tcPr>
            <w:tcW w:type="dxa" w:w="3360"/>
            <w:shd w:fill="F1F5F8"/>
          </w:tcPr>
          <w:p>
            <w:pPr>
              <w:spacing w:after="20"/>
            </w:pPr>
            <w:r>
              <w:rPr>
                <w:sz w:val="16"/>
              </w:rPr>
              <w:t>After user research identifies demand and disclosures can be made clear.</w:t>
            </w:r>
          </w:p>
        </w:tc>
      </w:tr>
      <w:tr>
        <w:tc>
          <w:tcPr>
            <w:tcW w:type="dxa" w:w="3360"/>
          </w:tcPr>
          <w:p>
            <w:pPr>
              <w:spacing w:after="20"/>
            </w:pPr>
            <w:r>
              <w:rPr>
                <w:sz w:val="16"/>
              </w:rPr>
              <w:t>Savings-goal connection</w:t>
            </w:r>
          </w:p>
        </w:tc>
        <w:tc>
          <w:tcPr>
            <w:tcW w:type="dxa" w:w="3360"/>
          </w:tcPr>
          <w:p>
            <w:pPr>
              <w:spacing w:after="20"/>
            </w:pPr>
            <w:r>
              <w:rPr>
                <w:sz w:val="16"/>
              </w:rPr>
              <w:t>With user permission, SBMS may show a link or approved flow to a partner savings account. SBMS does not hold the funds.</w:t>
            </w:r>
          </w:p>
        </w:tc>
        <w:tc>
          <w:tcPr>
            <w:tcW w:type="dxa" w:w="3360"/>
          </w:tcPr>
          <w:p>
            <w:pPr>
              <w:spacing w:after="20"/>
            </w:pPr>
            <w:r>
              <w:rPr>
                <w:sz w:val="16"/>
              </w:rPr>
              <w:t>Only after security, consent, support and compliance reviews.</w:t>
            </w:r>
          </w:p>
        </w:tc>
      </w:tr>
      <w:tr>
        <w:tc>
          <w:tcPr>
            <w:tcW w:type="dxa" w:w="3360"/>
            <w:shd w:fill="F1F5F8"/>
          </w:tcPr>
          <w:p>
            <w:pPr>
              <w:spacing w:after="20"/>
            </w:pPr>
            <w:r>
              <w:rPr>
                <w:sz w:val="16"/>
              </w:rPr>
              <w:t>Read-only account data</w:t>
            </w:r>
          </w:p>
        </w:tc>
        <w:tc>
          <w:tcPr>
            <w:tcW w:type="dxa" w:w="3360"/>
            <w:shd w:fill="F1F5F8"/>
          </w:tcPr>
          <w:p>
            <w:pPr>
              <w:spacing w:after="20"/>
            </w:pPr>
            <w:r>
              <w:rPr>
                <w:sz w:val="16"/>
              </w:rPr>
              <w:t>A supported integration imports permitted transactions or balances to reduce manual entry, if lawful and technically available.</w:t>
            </w:r>
          </w:p>
        </w:tc>
        <w:tc>
          <w:tcPr>
            <w:tcW w:type="dxa" w:w="3360"/>
            <w:shd w:fill="F1F5F8"/>
          </w:tcPr>
          <w:p>
            <w:pPr>
              <w:spacing w:after="20"/>
            </w:pPr>
            <w:r>
              <w:rPr>
                <w:sz w:val="16"/>
              </w:rPr>
              <w:t>Later, once the core product has proven retention and a partner-approved integration exists.</w:t>
            </w:r>
          </w:p>
        </w:tc>
      </w:tr>
      <w:tr>
        <w:tc>
          <w:tcPr>
            <w:tcW w:type="dxa" w:w="3360"/>
          </w:tcPr>
          <w:p>
            <w:pPr>
              <w:spacing w:after="20"/>
            </w:pPr>
            <w:r>
              <w:rPr>
                <w:sz w:val="16"/>
              </w:rPr>
              <w:t>Sponsored student programme</w:t>
            </w:r>
          </w:p>
        </w:tc>
        <w:tc>
          <w:tcPr>
            <w:tcW w:type="dxa" w:w="3360"/>
          </w:tcPr>
          <w:p>
            <w:pPr>
              <w:spacing w:after="20"/>
            </w:pPr>
            <w:r>
              <w:rPr>
                <w:sz w:val="16"/>
              </w:rPr>
              <w:t>A bank, university or foundation funds a financial-wellness programme or a defined cohort pilot.</w:t>
            </w:r>
          </w:p>
        </w:tc>
        <w:tc>
          <w:tcPr>
            <w:tcW w:type="dxa" w:w="3360"/>
          </w:tcPr>
          <w:p>
            <w:pPr>
              <w:spacing w:after="20"/>
            </w:pPr>
            <w:r>
              <w:rPr>
                <w:sz w:val="16"/>
              </w:rPr>
              <w:t>Once SBMS can demonstrate outcomes and provide a credible pilot report.</w:t>
            </w:r>
          </w:p>
        </w:tc>
      </w:tr>
      <w:tr>
        <w:tc>
          <w:tcPr>
            <w:tcW w:type="dxa" w:w="3360"/>
            <w:shd w:fill="F1F5F8"/>
          </w:tcPr>
          <w:p>
            <w:pPr>
              <w:spacing w:after="20"/>
            </w:pPr>
            <w:r>
              <w:rPr>
                <w:sz w:val="16"/>
              </w:rPr>
              <w:t>Co-branded financial education</w:t>
            </w:r>
          </w:p>
        </w:tc>
        <w:tc>
          <w:tcPr>
            <w:tcW w:type="dxa" w:w="3360"/>
            <w:shd w:fill="F1F5F8"/>
          </w:tcPr>
          <w:p>
            <w:pPr>
              <w:spacing w:after="20"/>
            </w:pPr>
            <w:r>
              <w:rPr>
                <w:sz w:val="16"/>
              </w:rPr>
              <w:t>A bank and SBMS jointly provide a student learning series, with clear branding and no implication that educational simulations are real investment advice.</w:t>
            </w:r>
          </w:p>
        </w:tc>
        <w:tc>
          <w:tcPr>
            <w:tcW w:type="dxa" w:w="3360"/>
            <w:shd w:fill="F1F5F8"/>
          </w:tcPr>
          <w:p>
            <w:pPr>
              <w:spacing w:after="20"/>
            </w:pPr>
            <w:r>
              <w:rPr>
                <w:sz w:val="16"/>
              </w:rPr>
              <w:t>After content governance and conflict-of-interest rules are in place.</w:t>
            </w:r>
          </w:p>
        </w:tc>
      </w:tr>
    </w:tbl>
    <w:p/>
    <w:p>
      <w:pPr>
        <w:pStyle w:val="Heading3"/>
      </w:pPr>
      <w:r>
        <w:t>What SBMS should prepare before approaching banks</w:t>
      </w:r>
    </w:p>
    <w:p>
      <w:pPr>
        <w:pStyle w:val="ListNumber"/>
        <w:spacing w:after="40"/>
      </w:pPr>
      <w:r>
        <w:t>A working demo showing the core student money journey, not just slides.</w:t>
      </w:r>
    </w:p>
    <w:p>
      <w:pPr>
        <w:pStyle w:val="ListNumber"/>
        <w:spacing w:after="40"/>
      </w:pPr>
      <w:r>
        <w:t>A concise partner pitch: the student problem, what SBMS does, what the bank contributes, and how students benefit.</w:t>
      </w:r>
    </w:p>
    <w:p>
      <w:pPr>
        <w:pStyle w:val="ListNumber"/>
        <w:spacing w:after="40"/>
      </w:pPr>
      <w:r>
        <w:t>Evidence from interviews and a small pilot, including task completion, clarity feedback and repeat usage where available.</w:t>
      </w:r>
    </w:p>
    <w:p>
      <w:pPr>
        <w:pStyle w:val="ListNumber"/>
        <w:spacing w:after="40"/>
      </w:pPr>
      <w:r>
        <w:t>A clear data map explaining what SBMS collects, where it is stored, who can access it and what is never collected.</w:t>
      </w:r>
    </w:p>
    <w:p>
      <w:pPr>
        <w:pStyle w:val="ListNumber"/>
        <w:spacing w:after="40"/>
      </w:pPr>
      <w:r>
        <w:t>A proposed pilot scope, target cohort, duration, success measures, support process and exit plan.</w:t>
      </w:r>
    </w:p>
    <w:p>
      <w:pPr>
        <w:pStyle w:val="ListNumber"/>
        <w:spacing w:after="40"/>
      </w:pPr>
      <w:r>
        <w:t>A draft partnership principles sheet covering student consent, data minimization, branding, complaints, security responsibilities and no-pressure selling.</w:t>
      </w:r>
    </w:p>
    <w:p>
      <w:pPr>
        <w:pStyle w:val="ListNumber"/>
        <w:spacing w:after="40"/>
      </w:pPr>
      <w:r>
        <w:t>A realistic commercial proposal that does not depend on selling personal financial data.</w:t>
      </w:r>
    </w:p>
    <w:p>
      <w:r>
        <w:t>Potential partners should be selected based on appropriate licensing, student suitability, transparent fees, customer support, security maturity, accessible service channels and willingness to respect user choice. Do not imply that any bank has agreed to partner until an agreement is signed.</w:t>
      </w:r>
    </w:p>
    <w:p>
      <w:pPr>
        <w:pStyle w:val="Heading2"/>
      </w:pPr>
      <w:r>
        <w:t>16.3 Consent, data and compliance safeguards for partnerships</w:t>
      </w:r>
    </w:p>
    <w:p>
      <w:pPr>
        <w:pStyle w:val="ListBullet"/>
        <w:spacing w:after="40"/>
      </w:pPr>
      <w:r>
        <w:t>Make account linking optional. SBMS must remain useful to students who do not link an account or do not qualify for a partner product.</w:t>
      </w:r>
    </w:p>
    <w:p>
      <w:pPr>
        <w:pStyle w:val="ListBullet"/>
        <w:spacing w:after="40"/>
      </w:pPr>
      <w:r>
        <w:t>Explain precisely which information will be accessed, why it is needed, how it will be used and how a user can disconnect access.</w:t>
      </w:r>
    </w:p>
    <w:p>
      <w:pPr>
        <w:pStyle w:val="ListBullet"/>
        <w:spacing w:after="40"/>
      </w:pPr>
      <w:r>
        <w:t>Use a partner-approved authorization flow; never ask users to type their bank PIN, card PIN, online banking password or one-time password into SBMS.</w:t>
      </w:r>
    </w:p>
    <w:p>
      <w:pPr>
        <w:pStyle w:val="ListBullet"/>
        <w:spacing w:after="40"/>
      </w:pPr>
      <w:r>
        <w:t>Request only the minimum access needed. Read-only transaction access is preferable to payment or transfer permissions for an early integration.</w:t>
      </w:r>
    </w:p>
    <w:p>
      <w:pPr>
        <w:pStyle w:val="ListBullet"/>
        <w:spacing w:after="40"/>
      </w:pPr>
      <w:r>
        <w:t>Do not sell identifiable transaction histories or use them for unrelated advertising.</w:t>
      </w:r>
    </w:p>
    <w:p>
      <w:pPr>
        <w:pStyle w:val="ListBullet"/>
        <w:spacing w:after="40"/>
      </w:pPr>
      <w:r>
        <w:t>Separate product recommendations from sponsored placements and clearly disclose any referral fee or commercial relationship.</w:t>
      </w:r>
    </w:p>
    <w:p>
      <w:pPr>
        <w:pStyle w:val="ListBullet"/>
        <w:spacing w:after="40"/>
      </w:pPr>
      <w:r>
        <w:t>Do not use bank data to shame, exclude or rank students by wealth.</w:t>
      </w:r>
    </w:p>
    <w:p>
      <w:pPr>
        <w:pStyle w:val="ListBullet"/>
        <w:spacing w:after="40"/>
      </w:pPr>
      <w:r>
        <w:t>Before any integration, obtain qualified Nigerian legal and compliance advice on applicable privacy, consumer-protection, payments, banking, securities and third-party technology requirements. Confirm current requirements with the relevant licensed partner and authorities.</w:t>
      </w:r>
    </w:p>
    <w:p>
      <w:pPr>
        <w:pStyle w:val="ListBullet"/>
        <w:spacing w:after="40"/>
      </w:pPr>
      <w:r>
        <w:t>Agree in writing who handles customer complaints, security incidents, data deletion, service outages and regulatory requests.</w:t>
      </w:r>
    </w:p>
    <w:p>
      <w:pPr>
        <w:pStyle w:val="ListBullet"/>
        <w:spacing w:after="40"/>
      </w:pPr>
      <w:r>
        <w:t>Run security testing and a limited pilot before broad release.</w:t>
      </w:r>
    </w:p>
    <w:p>
      <w:pPr>
        <w:pStyle w:val="Heading2"/>
      </w:pPr>
      <w:r>
        <w:t>16.4 Additional future features worth considering</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6"/>
              </w:rPr>
              <w:t>Enhancement</w:t>
            </w:r>
          </w:p>
        </w:tc>
        <w:tc>
          <w:tcPr>
            <w:tcW w:type="dxa" w:w="3360"/>
            <w:shd w:fill="12304A"/>
          </w:tcPr>
          <w:p>
            <w:r>
              <w:rPr>
                <w:b/>
                <w:color w:val="FFFFFF"/>
                <w:sz w:val="16"/>
              </w:rPr>
              <w:t>Value</w:t>
            </w:r>
          </w:p>
        </w:tc>
        <w:tc>
          <w:tcPr>
            <w:tcW w:type="dxa" w:w="3360"/>
            <w:shd w:fill="12304A"/>
          </w:tcPr>
          <w:p>
            <w:r>
              <w:rPr>
                <w:b/>
                <w:color w:val="FFFFFF"/>
                <w:sz w:val="16"/>
              </w:rPr>
              <w:t>Build decision</w:t>
            </w:r>
          </w:p>
        </w:tc>
      </w:tr>
      <w:tr>
        <w:tc>
          <w:tcPr>
            <w:tcW w:type="dxa" w:w="3360"/>
          </w:tcPr>
          <w:p>
            <w:pPr>
              <w:spacing w:after="20"/>
            </w:pPr>
            <w:r>
              <w:rPr>
                <w:sz w:val="16"/>
              </w:rPr>
              <w:t>Semester and school-fee planner</w:t>
            </w:r>
          </w:p>
        </w:tc>
        <w:tc>
          <w:tcPr>
            <w:tcW w:type="dxa" w:w="3360"/>
          </w:tcPr>
          <w:p>
            <w:pPr>
              <w:spacing w:after="20"/>
            </w:pPr>
            <w:r>
              <w:rPr>
                <w:sz w:val="16"/>
              </w:rPr>
              <w:t>Plan known fees, books, transport and other term-based costs over time.</w:t>
            </w:r>
          </w:p>
        </w:tc>
        <w:tc>
          <w:tcPr>
            <w:tcW w:type="dxa" w:w="3360"/>
          </w:tcPr>
          <w:p>
            <w:pPr>
              <w:spacing w:after="20"/>
            </w:pPr>
            <w:r>
              <w:rPr>
                <w:sz w:val="16"/>
              </w:rPr>
              <w:t>High potential; start with manual dates and amounts.</w:t>
            </w:r>
          </w:p>
        </w:tc>
      </w:tr>
      <w:tr>
        <w:tc>
          <w:tcPr>
            <w:tcW w:type="dxa" w:w="3360"/>
            <w:shd w:fill="F1F5F8"/>
          </w:tcPr>
          <w:p>
            <w:pPr>
              <w:spacing w:after="20"/>
            </w:pPr>
            <w:r>
              <w:rPr>
                <w:sz w:val="16"/>
              </w:rPr>
              <w:t>Emergency expense planner</w:t>
            </w:r>
          </w:p>
        </w:tc>
        <w:tc>
          <w:tcPr>
            <w:tcW w:type="dxa" w:w="3360"/>
            <w:shd w:fill="F1F5F8"/>
          </w:tcPr>
          <w:p>
            <w:pPr>
              <w:spacing w:after="20"/>
            </w:pPr>
            <w:r>
              <w:rPr>
                <w:sz w:val="16"/>
              </w:rPr>
              <w:t>Help users compare possible responses to an unexpected cost without assuming help is available.</w:t>
            </w:r>
          </w:p>
        </w:tc>
        <w:tc>
          <w:tcPr>
            <w:tcW w:type="dxa" w:w="3360"/>
            <w:shd w:fill="F1F5F8"/>
          </w:tcPr>
          <w:p>
            <w:pPr>
              <w:spacing w:after="20"/>
            </w:pPr>
            <w:r>
              <w:rPr>
                <w:sz w:val="16"/>
              </w:rPr>
              <w:t>Good rules-based extension after the runway planner.</w:t>
            </w:r>
          </w:p>
        </w:tc>
      </w:tr>
      <w:tr>
        <w:tc>
          <w:tcPr>
            <w:tcW w:type="dxa" w:w="3360"/>
          </w:tcPr>
          <w:p>
            <w:pPr>
              <w:spacing w:after="20"/>
            </w:pPr>
            <w:r>
              <w:rPr>
                <w:sz w:val="16"/>
              </w:rPr>
              <w:t>Shared-expense calculator</w:t>
            </w:r>
          </w:p>
        </w:tc>
        <w:tc>
          <w:tcPr>
            <w:tcW w:type="dxa" w:w="3360"/>
          </w:tcPr>
          <w:p>
            <w:pPr>
              <w:spacing w:after="20"/>
            </w:pPr>
            <w:r>
              <w:rPr>
                <w:sz w:val="16"/>
              </w:rPr>
              <w:t>Split rent, groceries or group project costs without moving money through SBMS.</w:t>
            </w:r>
          </w:p>
        </w:tc>
        <w:tc>
          <w:tcPr>
            <w:tcW w:type="dxa" w:w="3360"/>
          </w:tcPr>
          <w:p>
            <w:pPr>
              <w:spacing w:after="20"/>
            </w:pPr>
            <w:r>
              <w:rPr>
                <w:sz w:val="16"/>
              </w:rPr>
              <w:t>Relatively simple; keep settlement outside SBMS initially.</w:t>
            </w:r>
          </w:p>
        </w:tc>
      </w:tr>
      <w:tr>
        <w:tc>
          <w:tcPr>
            <w:tcW w:type="dxa" w:w="3360"/>
            <w:shd w:fill="F1F5F8"/>
          </w:tcPr>
          <w:p>
            <w:pPr>
              <w:spacing w:after="20"/>
            </w:pPr>
            <w:r>
              <w:rPr>
                <w:sz w:val="16"/>
              </w:rPr>
              <w:t>Offline-friendly mode</w:t>
            </w:r>
          </w:p>
        </w:tc>
        <w:tc>
          <w:tcPr>
            <w:tcW w:type="dxa" w:w="3360"/>
            <w:shd w:fill="F1F5F8"/>
          </w:tcPr>
          <w:p>
            <w:pPr>
              <w:spacing w:after="20"/>
            </w:pPr>
            <w:r>
              <w:rPr>
                <w:sz w:val="16"/>
              </w:rPr>
              <w:t>Allow limited use when data connectivity is unreliable, with clear sync status if cloud sync exists.</w:t>
            </w:r>
          </w:p>
        </w:tc>
        <w:tc>
          <w:tcPr>
            <w:tcW w:type="dxa" w:w="3360"/>
            <w:shd w:fill="F1F5F8"/>
          </w:tcPr>
          <w:p>
            <w:pPr>
              <w:spacing w:after="20"/>
            </w:pPr>
            <w:r>
              <w:rPr>
                <w:sz w:val="16"/>
              </w:rPr>
              <w:t>Prioritize only after testing technical feasibility and conflict handling.</w:t>
            </w:r>
          </w:p>
        </w:tc>
      </w:tr>
      <w:tr>
        <w:tc>
          <w:tcPr>
            <w:tcW w:type="dxa" w:w="3360"/>
          </w:tcPr>
          <w:p>
            <w:pPr>
              <w:spacing w:after="20"/>
            </w:pPr>
            <w:r>
              <w:rPr>
                <w:sz w:val="16"/>
              </w:rPr>
              <w:t>Student discounts and deals</w:t>
            </w:r>
          </w:p>
        </w:tc>
        <w:tc>
          <w:tcPr>
            <w:tcW w:type="dxa" w:w="3360"/>
          </w:tcPr>
          <w:p>
            <w:pPr>
              <w:spacing w:after="20"/>
            </w:pPr>
            <w:r>
              <w:rPr>
                <w:sz w:val="16"/>
              </w:rPr>
              <w:t>Show verified discounts on relevant essentials or learning resources.</w:t>
            </w:r>
          </w:p>
        </w:tc>
        <w:tc>
          <w:tcPr>
            <w:tcW w:type="dxa" w:w="3360"/>
          </w:tcPr>
          <w:p>
            <w:pPr>
              <w:spacing w:after="20"/>
            </w:pPr>
            <w:r>
              <w:rPr>
                <w:sz w:val="16"/>
              </w:rPr>
              <w:t>Only with trustworthy partners, clear expiry dates and no clutter.</w:t>
            </w:r>
          </w:p>
        </w:tc>
      </w:tr>
      <w:tr>
        <w:tc>
          <w:tcPr>
            <w:tcW w:type="dxa" w:w="3360"/>
            <w:shd w:fill="F1F5F8"/>
          </w:tcPr>
          <w:p>
            <w:pPr>
              <w:spacing w:after="20"/>
            </w:pPr>
            <w:r>
              <w:rPr>
                <w:sz w:val="16"/>
              </w:rPr>
              <w:t>Financial-wellness programme for institutions</w:t>
            </w:r>
          </w:p>
        </w:tc>
        <w:tc>
          <w:tcPr>
            <w:tcW w:type="dxa" w:w="3360"/>
            <w:shd w:fill="F1F5F8"/>
          </w:tcPr>
          <w:p>
            <w:pPr>
              <w:spacing w:after="20"/>
            </w:pPr>
            <w:r>
              <w:rPr>
                <w:sz w:val="16"/>
              </w:rPr>
              <w:t>Provide workshops and carefully aggregated programme results.</w:t>
            </w:r>
          </w:p>
        </w:tc>
        <w:tc>
          <w:tcPr>
            <w:tcW w:type="dxa" w:w="3360"/>
            <w:shd w:fill="F1F5F8"/>
          </w:tcPr>
          <w:p>
            <w:pPr>
              <w:spacing w:after="20"/>
            </w:pPr>
            <w:r>
              <w:rPr>
                <w:sz w:val="16"/>
              </w:rPr>
              <w:t>Later; avoid individual-level financial monitoring by schools.</w:t>
            </w:r>
          </w:p>
        </w:tc>
      </w:tr>
      <w:tr>
        <w:tc>
          <w:tcPr>
            <w:tcW w:type="dxa" w:w="3360"/>
          </w:tcPr>
          <w:p>
            <w:pPr>
              <w:spacing w:after="20"/>
            </w:pPr>
            <w:r>
              <w:rPr>
                <w:sz w:val="16"/>
              </w:rPr>
              <w:t>Accessibility enhancements</w:t>
            </w:r>
          </w:p>
        </w:tc>
        <w:tc>
          <w:tcPr>
            <w:tcW w:type="dxa" w:w="3360"/>
          </w:tcPr>
          <w:p>
            <w:pPr>
              <w:spacing w:after="20"/>
            </w:pPr>
            <w:r>
              <w:rPr>
                <w:sz w:val="16"/>
              </w:rPr>
              <w:t>Screen-reader labels, scalable text, high contrast and low-bandwidth screens.</w:t>
            </w:r>
          </w:p>
        </w:tc>
        <w:tc>
          <w:tcPr>
            <w:tcW w:type="dxa" w:w="3360"/>
          </w:tcPr>
          <w:p>
            <w:pPr>
              <w:spacing w:after="20"/>
            </w:pPr>
            <w:r>
              <w:rPr>
                <w:sz w:val="16"/>
              </w:rPr>
              <w:t>Build into core quality work rather than treating as decoration.</w:t>
            </w:r>
          </w:p>
        </w:tc>
      </w:tr>
      <w:tr>
        <w:tc>
          <w:tcPr>
            <w:tcW w:type="dxa" w:w="3360"/>
            <w:shd w:fill="F1F5F8"/>
          </w:tcPr>
          <w:p>
            <w:pPr>
              <w:spacing w:after="20"/>
            </w:pPr>
            <w:r>
              <w:rPr>
                <w:sz w:val="16"/>
              </w:rPr>
              <w:t>Advanced financial simulator</w:t>
            </w:r>
          </w:p>
        </w:tc>
        <w:tc>
          <w:tcPr>
            <w:tcW w:type="dxa" w:w="3360"/>
            <w:shd w:fill="F1F5F8"/>
          </w:tcPr>
          <w:p>
            <w:pPr>
              <w:spacing w:after="20"/>
            </w:pPr>
            <w:r>
              <w:rPr>
                <w:sz w:val="16"/>
              </w:rPr>
              <w:t>Add inflation, changing prices, uncertainty and risk scenarios.</w:t>
            </w:r>
          </w:p>
        </w:tc>
        <w:tc>
          <w:tcPr>
            <w:tcW w:type="dxa" w:w="3360"/>
            <w:shd w:fill="F1F5F8"/>
          </w:tcPr>
          <w:p>
            <w:pPr>
              <w:spacing w:after="20"/>
            </w:pPr>
            <w:r>
              <w:rPr>
                <w:sz w:val="16"/>
              </w:rPr>
              <w:t>Expand gradually; keep scenarios educational and clearly hypothetical.</w:t>
            </w:r>
          </w:p>
        </w:tc>
      </w:tr>
    </w:tbl>
    <w:p/>
    <w:p>
      <w:pPr>
        <w:pStyle w:val="Heading2"/>
      </w:pPr>
      <w:r>
        <w:t>16.5 Sustainable business model options</w:t>
      </w:r>
    </w:p>
    <w:p>
      <w:r>
        <w:t>SBMS should not depend on monetizing private student financial data. Possible models to test include:</w:t>
      </w:r>
    </w:p>
    <w:p>
      <w:pPr>
        <w:pStyle w:val="ListBullet"/>
        <w:spacing w:after="40"/>
      </w:pPr>
      <w:r>
        <w:t>Freemium: keep core budgeting, runway planning and essential language support free; charge only for optional advanced tools if students show willingness to pay.</w:t>
      </w:r>
    </w:p>
    <w:p>
      <w:pPr>
        <w:pStyle w:val="ListBullet"/>
        <w:spacing w:after="40"/>
      </w:pPr>
      <w:r>
        <w:t>Institution-sponsored access: a university, student association, foundation or approved sponsor funds access for a defined group.</w:t>
      </w:r>
    </w:p>
    <w:p>
      <w:pPr>
        <w:pStyle w:val="ListBullet"/>
        <w:spacing w:after="40"/>
      </w:pPr>
      <w:r>
        <w:t>Financial education partnerships: transparent sponsorship for workshops or reviewed learning content, without allowing sponsors to control users' personal plans.</w:t>
      </w:r>
    </w:p>
    <w:p>
      <w:pPr>
        <w:pStyle w:val="ListBullet"/>
        <w:spacing w:after="40"/>
      </w:pPr>
      <w:r>
        <w:t>Clearly disclosed partner referrals: optional referrals to suitable licensed services, with fees disclosed and no pressure to sign up.</w:t>
      </w:r>
    </w:p>
    <w:p>
      <w:pPr>
        <w:pStyle w:val="ListBullet"/>
        <w:spacing w:after="40"/>
      </w:pPr>
      <w:r>
        <w:t>Grants or impact funding: seek support for financial inclusion, student wellbeing, digital literacy or language accessibility, without promising outcomes that have not been measured.</w:t>
      </w:r>
    </w:p>
    <w:p>
      <w:r>
        <w:t>Before selecting a model, test whether students need the product enough to return to it, identify who benefits financially from each option, and ensure free users are not pushed toward unsuitable products.</w:t>
      </w:r>
    </w:p>
    <w:p>
      <w:pPr>
        <w:pStyle w:val="Heading2"/>
      </w:pPr>
      <w:r>
        <w:t>16.6 Partnership and expansion milestones</w:t>
      </w:r>
    </w:p>
    <w:tbl>
      <w:tblPr>
        <w:tblStyle w:val="TableGrid"/>
        <w:tblW w:type="auto" w:w="0"/>
        <w:tblLook w:firstColumn="1" w:firstRow="1" w:lastColumn="0" w:lastRow="0" w:noHBand="0" w:noVBand="1" w:val="04A0"/>
      </w:tblPr>
      <w:tblGrid>
        <w:gridCol w:w="5040"/>
        <w:gridCol w:w="5040"/>
      </w:tblGrid>
      <w:tr>
        <w:tc>
          <w:tcPr>
            <w:tcW w:type="dxa" w:w="5040"/>
            <w:shd w:fill="12304A"/>
          </w:tcPr>
          <w:p>
            <w:r>
              <w:rPr>
                <w:b/>
                <w:color w:val="FFFFFF"/>
                <w:sz w:val="16"/>
              </w:rPr>
              <w:t>Milestone</w:t>
            </w:r>
          </w:p>
        </w:tc>
        <w:tc>
          <w:tcPr>
            <w:tcW w:type="dxa" w:w="5040"/>
            <w:shd w:fill="12304A"/>
          </w:tcPr>
          <w:p>
            <w:r>
              <w:rPr>
                <w:b/>
                <w:color w:val="FFFFFF"/>
                <w:sz w:val="16"/>
              </w:rPr>
              <w:t>Evidence required before moving on</w:t>
            </w:r>
          </w:p>
        </w:tc>
      </w:tr>
      <w:tr>
        <w:tc>
          <w:tcPr>
            <w:tcW w:type="dxa" w:w="5040"/>
          </w:tcPr>
          <w:p>
            <w:pPr>
              <w:spacing w:after="20"/>
            </w:pPr>
            <w:r>
              <w:rPr>
                <w:sz w:val="16"/>
              </w:rPr>
              <w:t>M1 — prototype ready</w:t>
            </w:r>
          </w:p>
        </w:tc>
        <w:tc>
          <w:tcPr>
            <w:tcW w:type="dxa" w:w="5040"/>
          </w:tcPr>
          <w:p>
            <w:pPr>
              <w:spacing w:after="20"/>
            </w:pPr>
            <w:r>
              <w:rPr>
                <w:sz w:val="16"/>
              </w:rPr>
              <w:t>Core flows demonstrated; main calculations tested; critical-language screens reviewed.</w:t>
            </w:r>
          </w:p>
        </w:tc>
      </w:tr>
      <w:tr>
        <w:tc>
          <w:tcPr>
            <w:tcW w:type="dxa" w:w="5040"/>
            <w:shd w:fill="F1F5F8"/>
          </w:tcPr>
          <w:p>
            <w:pPr>
              <w:spacing w:after="20"/>
            </w:pPr>
            <w:r>
              <w:rPr>
                <w:sz w:val="16"/>
              </w:rPr>
              <w:t>M2 — student pilot complete</w:t>
            </w:r>
          </w:p>
        </w:tc>
        <w:tc>
          <w:tcPr>
            <w:tcW w:type="dxa" w:w="5040"/>
            <w:shd w:fill="F1F5F8"/>
          </w:tcPr>
          <w:p>
            <w:pPr>
              <w:spacing w:after="20"/>
            </w:pPr>
            <w:r>
              <w:rPr>
                <w:sz w:val="16"/>
              </w:rPr>
              <w:t>Documented feedback, usability findings, known defects and a prioritized improvement list.</w:t>
            </w:r>
          </w:p>
        </w:tc>
      </w:tr>
      <w:tr>
        <w:tc>
          <w:tcPr>
            <w:tcW w:type="dxa" w:w="5040"/>
          </w:tcPr>
          <w:p>
            <w:pPr>
              <w:spacing w:after="20"/>
            </w:pPr>
            <w:r>
              <w:rPr>
                <w:sz w:val="16"/>
              </w:rPr>
              <w:t>M3 — repeat-use signal</w:t>
            </w:r>
          </w:p>
        </w:tc>
        <w:tc>
          <w:tcPr>
            <w:tcW w:type="dxa" w:w="5040"/>
          </w:tcPr>
          <w:p>
            <w:pPr>
              <w:spacing w:after="20"/>
            </w:pPr>
            <w:r>
              <w:rPr>
                <w:sz w:val="16"/>
              </w:rPr>
              <w:t>Evidence that a meaningful portion of pilot users return to plan or update expenses; set the threshold before measuring.</w:t>
            </w:r>
          </w:p>
        </w:tc>
      </w:tr>
      <w:tr>
        <w:tc>
          <w:tcPr>
            <w:tcW w:type="dxa" w:w="5040"/>
            <w:shd w:fill="F1F5F8"/>
          </w:tcPr>
          <w:p>
            <w:pPr>
              <w:spacing w:after="20"/>
            </w:pPr>
            <w:r>
              <w:rPr>
                <w:sz w:val="16"/>
              </w:rPr>
              <w:t>M4 — partnership brief ready</w:t>
            </w:r>
          </w:p>
        </w:tc>
        <w:tc>
          <w:tcPr>
            <w:tcW w:type="dxa" w:w="5040"/>
            <w:shd w:fill="F1F5F8"/>
          </w:tcPr>
          <w:p>
            <w:pPr>
              <w:spacing w:after="20"/>
            </w:pPr>
            <w:r>
              <w:rPr>
                <w:sz w:val="16"/>
              </w:rPr>
              <w:t>Product demo, pilot summary, data map, security outline, partnership principles and measurable pilot proposal.</w:t>
            </w:r>
          </w:p>
        </w:tc>
      </w:tr>
      <w:tr>
        <w:tc>
          <w:tcPr>
            <w:tcW w:type="dxa" w:w="5040"/>
          </w:tcPr>
          <w:p>
            <w:pPr>
              <w:spacing w:after="20"/>
            </w:pPr>
            <w:r>
              <w:rPr>
                <w:sz w:val="16"/>
              </w:rPr>
              <w:t>M5 — limited partner pilot</w:t>
            </w:r>
          </w:p>
        </w:tc>
        <w:tc>
          <w:tcPr>
            <w:tcW w:type="dxa" w:w="5040"/>
          </w:tcPr>
          <w:p>
            <w:pPr>
              <w:spacing w:after="20"/>
            </w:pPr>
            <w:r>
              <w:rPr>
                <w:sz w:val="16"/>
              </w:rPr>
              <w:t>Signed responsibilities, approved integration design if any, consent flow, support plan and incident procedures.</w:t>
            </w:r>
          </w:p>
        </w:tc>
      </w:tr>
      <w:tr>
        <w:tc>
          <w:tcPr>
            <w:tcW w:type="dxa" w:w="5040"/>
            <w:shd w:fill="F1F5F8"/>
          </w:tcPr>
          <w:p>
            <w:pPr>
              <w:spacing w:after="20"/>
            </w:pPr>
            <w:r>
              <w:rPr>
                <w:sz w:val="16"/>
              </w:rPr>
              <w:t>M6 — broader release</w:t>
            </w:r>
          </w:p>
        </w:tc>
        <w:tc>
          <w:tcPr>
            <w:tcW w:type="dxa" w:w="5040"/>
            <w:shd w:fill="F1F5F8"/>
          </w:tcPr>
          <w:p>
            <w:pPr>
              <w:spacing w:after="20"/>
            </w:pPr>
            <w:r>
              <w:rPr>
                <w:sz w:val="16"/>
              </w:rPr>
              <w:t>Pilot issues addressed, legal/compliance review complete, monitoring in place and clear user disclosures.</w:t>
            </w:r>
          </w:p>
        </w:tc>
      </w:tr>
    </w:tbl>
    <w:p/>
    <w:p>
      <w:pPr>
        <w:pStyle w:val="Heading1"/>
      </w:pPr>
      <w:r>
        <w:t>17. Final product strategy: win through focus</w:t>
      </w:r>
    </w:p>
    <w:p>
      <w:r>
        <w:t>SBMS can aim to be excellent without trying to build everything at once. Its first job is to make a student's money situation easier to understand and act on. Make the runway planner fast and transparent; protect essentials; handle irregular income gracefully; make small savings realistic; and deliver understandable guidance in the user's chosen language.</w:t>
      </w:r>
    </w:p>
    <w:p>
      <w:r>
        <w:t>Then use pilot evidence to decide which enhancements matter most. A bank partnership is a potential later-stage accelerator—not the foundation the product depends on. Start with education and co-designed pilots; consider account connectivity or partner services only when user demand, partner readiness, security and regulatory requirements support them.</w:t>
      </w:r>
    </w:p>
    <w:p>
      <w:r>
        <w:t>The practical winning sequence is: validate the problem → build the core planner → test with students → improve trust and repeat use → document evidence → approach suitable partners → pilot one carefully scoped collaboration → expand only when it works.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SBMS Product Blueprint | October 2026 |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6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