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BAGH_SIR — The Complete Explanation</w:t>
      </w:r>
    </w:p>
    <w:p>
      <w:pPr>
        <w:spacing w:after="160" w:line="276"/>
      </w:pPr>
      <w:r>
        <w:rPr>
          <w:rFonts w:ascii="Calibri" w:cs="Calibri" w:eastAsia="Calibri" w:hAnsi="Calibri"/>
          <w:i/>
          <w:iCs/>
          <w:color w:val="555555"/>
          <w:sz w:val="22"/>
          <w:szCs w:val="22"/>
        </w:rPr>
        <w:t xml:space="preserve">How the tool works, what it genuinely proves, what it does not prove, and where the real scientific contribution lies.</w:t>
      </w:r>
    </w:p>
    <w:p>
      <w:pPr>
        <w:spacing w:after="160" w:line="276"/>
      </w:pPr>
      <w:r>
        <w:rPr>
          <w:rFonts w:ascii="Calibri" w:cs="Calibri" w:eastAsia="Calibri" w:hAnsi="Calibri"/>
          <w:color w:val="555555"/>
          <w:sz w:val="22"/>
          <w:szCs w:val="22"/>
        </w:rPr>
        <w:t xml:space="preserve">Promod Bagh  ·  Independent researcher  ·  Raghunathpur, India</w:t>
      </w:r>
    </w:p>
    <w:p>
      <w:pPr>
        <w:pStyle w:val="Heading1"/>
        <w:spacing w:after="160" w:before="320"/>
      </w:pPr>
      <w:r>
        <w:rPr>
          <w:rFonts w:ascii="Calibri" w:cs="Calibri" w:eastAsia="Calibri" w:hAnsi="Calibri"/>
        </w:rPr>
        <w:t xml:space="preserve">1. What BAGH_SIR is</w:t>
      </w:r>
    </w:p>
    <w:p>
      <w:pPr>
        <w:spacing w:after="160" w:line="276"/>
      </w:pPr>
      <w:r>
        <w:rPr>
          <w:rFonts w:ascii="Calibri" w:cs="Calibri" w:eastAsia="Calibri" w:hAnsi="Calibri"/>
          <w:sz w:val="22"/>
          <w:szCs w:val="22"/>
        </w:rPr>
        <w:t xml:space="preserve">BAGH_SIR (Bagh's Shape-Integrated Reckoner) is a Python tool that takes a 3D shape model of an asteroid or comet (an .obj mesh) and computes four things: the true volume of the shape, the volume-equivalent diameter, the bulk density (if a mass is supplied), and the macroporosity (if a rock type or grain density is supplied). It also reports a shape-uncertainty figure: how far off a simple sphere or ellipsoid assumption would have been for that particular body.</w:t>
      </w:r>
    </w:p>
    <w:p>
      <w:pPr>
        <w:spacing w:after="160" w:line="276"/>
      </w:pPr>
      <w:r>
        <w:rPr>
          <w:rFonts w:ascii="Calibri" w:cs="Calibri" w:eastAsia="Calibri" w:hAnsi="Calibri"/>
          <w:sz w:val="22"/>
          <w:szCs w:val="22"/>
        </w:rPr>
        <w:t xml:space="preserve">The tool exists because asteroid density is one of the most poorly known quantities in planetary science. Density requires both mass and volume, and volume is usually the weaker of the two: for most catalogue asteroids it is inferred from a diameter estimate plus an assumed round shape. BAGH_SIR replaces the round-shape assumption with the real published shape model wherever one exists.</w:t>
      </w:r>
    </w:p>
    <w:p>
      <w:pPr>
        <w:pStyle w:val="Heading1"/>
        <w:spacing w:after="160" w:before="320"/>
      </w:pPr>
      <w:r>
        <w:rPr>
          <w:rFonts w:ascii="Calibri" w:cs="Calibri" w:eastAsia="Calibri" w:hAnsi="Calibri"/>
        </w:rPr>
        <w:t xml:space="preserve">2. How the volume is computed</w:t>
      </w:r>
    </w:p>
    <w:p>
      <w:pPr>
        <w:spacing w:after="160" w:line="276"/>
      </w:pPr>
      <w:r>
        <w:rPr>
          <w:rFonts w:ascii="Calibri" w:cs="Calibri" w:eastAsia="Calibri" w:hAnsi="Calibri"/>
          <w:sz w:val="22"/>
          <w:szCs w:val="22"/>
        </w:rPr>
        <w:t xml:space="preserve">The tool computes the mesh volume two independent ways and requires them to agree before reporting anything.</w:t>
      </w:r>
    </w:p>
    <w:p>
      <w:pPr>
        <w:pStyle w:val="Heading2"/>
        <w:spacing w:after="120" w:before="240"/>
      </w:pPr>
      <w:r>
        <w:rPr>
          <w:rFonts w:ascii="Calibri" w:cs="Calibri" w:eastAsia="Calibri" w:hAnsi="Calibri"/>
        </w:rPr>
        <w:t xml:space="preserve">Method A — Signed-tetrahedron sum</w:t>
      </w:r>
    </w:p>
    <w:p>
      <w:pPr>
        <w:spacing w:after="160" w:line="276"/>
      </w:pPr>
      <w:r>
        <w:rPr>
          <w:rFonts w:ascii="Calibri" w:cs="Calibri" w:eastAsia="Calibri" w:hAnsi="Calibri"/>
          <w:sz w:val="22"/>
          <w:szCs w:val="22"/>
        </w:rPr>
        <w:t xml:space="preserve">Every triangular face of the mesh, together with the origin, defines a tetrahedron. The signed volume of each tetrahedron is (1/6)·|v0 · (v1 × v2)|. Summing the signed volumes over all faces of a closed mesh gives the exact enclosed volume. This is the standard result from the divergence theorem and is the method used by every professional mesh library.</w:t>
      </w:r>
    </w:p>
    <w:p>
      <w:pPr>
        <w:pStyle w:val="Heading2"/>
        <w:spacing w:after="120" w:before="240"/>
      </w:pPr>
      <w:r>
        <w:rPr>
          <w:rFonts w:ascii="Calibri" w:cs="Calibri" w:eastAsia="Calibri" w:hAnsi="Calibri"/>
        </w:rPr>
        <w:t xml:space="preserve">Method B — Projection (prism) sum</w:t>
      </w:r>
    </w:p>
    <w:p>
      <w:pPr>
        <w:spacing w:after="160" w:line="276"/>
      </w:pPr>
      <w:r>
        <w:rPr>
          <w:rFonts w:ascii="Calibri" w:cs="Calibri" w:eastAsia="Calibri" w:hAnsi="Calibri"/>
          <w:sz w:val="22"/>
          <w:szCs w:val="22"/>
        </w:rPr>
        <w:t xml:space="preserve">Each face is projected onto the x-y plane to get a signed footprint area, and multiplied by the mean depth (z) of the face. Summing footprint × depth over all faces also gives the exact enclosed volume. This is a second algebraic form of the same divergence-theorem integral.</w:t>
      </w:r>
    </w:p>
    <w:p>
      <w:pPr>
        <w:pStyle w:val="Heading2"/>
        <w:spacing w:after="120" w:before="240"/>
      </w:pPr>
      <w:r>
        <w:rPr>
          <w:rFonts w:ascii="Calibri" w:cs="Calibri" w:eastAsia="Calibri" w:hAnsi="Calibri"/>
        </w:rPr>
        <w:t xml:space="preserve">Why they always match — and what that means</w:t>
      </w:r>
    </w:p>
    <w:p>
      <w:pPr>
        <w:spacing w:after="160" w:line="276"/>
      </w:pPr>
      <w:r>
        <w:rPr>
          <w:rFonts w:ascii="Calibri" w:cs="Calibri" w:eastAsia="Calibri" w:hAnsi="Calibri"/>
          <w:sz w:val="22"/>
          <w:szCs w:val="22"/>
        </w:rPr>
        <w:t xml:space="preserve">Because Methods A and B are two forms of the same mathematical identity, they must agree to machine precision on any closed, consistently-oriented mesh. Their agreement is therefore a self-consistency check: it proves the mesh was read correctly, the faces are consistently oriented, and there are no numerical errors. It does not prove anything beyond that, and the documentation should not present the agreement as two independent confirmations of a new result.</w:t>
      </w:r>
    </w:p>
    <w:p>
      <w:pPr>
        <w:pStyle w:val="Heading2"/>
        <w:spacing w:after="120" w:before="240"/>
      </w:pPr>
      <w:r>
        <w:rPr>
          <w:rFonts w:ascii="Calibri" w:cs="Calibri" w:eastAsia="Calibri" w:hAnsi="Calibri"/>
        </w:rPr>
        <w:t xml:space="preserve">The 'VIT equations' framing</w:t>
      </w:r>
    </w:p>
    <w:p>
      <w:pPr>
        <w:spacing w:after="160" w:line="276"/>
      </w:pPr>
      <w:r>
        <w:rPr>
          <w:rFonts w:ascii="Calibri" w:cs="Calibri" w:eastAsia="Calibri" w:hAnsi="Calibri"/>
          <w:sz w:val="22"/>
          <w:szCs w:val="22"/>
        </w:rPr>
        <w:t xml:space="preserve">In the code, the COLLAPSE operator Vm(x) = x − 1 and the GENESIS join rule (2n + 1) appear as labels and printed traces, but they do not participate in the arithmetic. The volume that is actually reported comes entirely from the standard formulas above. The observation behind GENESIS — that a tetrahedron is spanned by two skew 1D edges — is a true geometric fact, but the general 2n+1 rule is neither derived nor used computationally. Honest framing: BAGH_SIR is a careful implementation of established computational geometry, and the COLLAPSE/GENESIS vocabulary is a personal way of narrating it, not new mathematics. Presenting it as new mathematics is the single fastest way to lose a scientific reader; presenting it as a transparent, verified implementation earns trust.</w:t>
      </w:r>
    </w:p>
    <w:p>
      <w:pPr>
        <w:pStyle w:val="Heading1"/>
        <w:spacing w:after="160" w:before="320"/>
      </w:pPr>
      <w:r>
        <w:rPr>
          <w:rFonts w:ascii="Calibri" w:cs="Calibri" w:eastAsia="Calibri" w:hAnsi="Calibri"/>
        </w:rPr>
        <w:t xml:space="preserve">3. Scaling, density, and porosity</w:t>
      </w:r>
    </w:p>
    <w:p>
      <w:pPr>
        <w:spacing w:after="160" w:line="276"/>
      </w:pPr>
      <w:r>
        <w:rPr>
          <w:rFonts w:ascii="Calibri" w:cs="Calibri" w:eastAsia="Calibri" w:hAnsi="Calibri"/>
          <w:sz w:val="22"/>
          <w:szCs w:val="22"/>
        </w:rPr>
        <w:t xml:space="preserve">Shape models from DAMIT are correct in form but arbitrary in size. The tool therefore scales the mesh so that its volume-equivalent diameter matches an externally measured diameter (from occultations or infrared radiometry). Density is then mass ÷ scaled volume. Spacecraft-derived models (Bennu, Ryugu, Itokawa, 67P) are already in kilometres, so no scaling is needed — the scale factor comes out at approximately 1.0, which is itself a check that the pipeline is honest.</w:t>
      </w:r>
    </w:p>
    <w:p>
      <w:pPr>
        <w:spacing w:after="160" w:line="276"/>
      </w:pPr>
      <w:r>
        <w:rPr>
          <w:rFonts w:ascii="Calibri" w:cs="Calibri" w:eastAsia="Calibri" w:hAnsi="Calibri"/>
          <w:sz w:val="22"/>
          <w:szCs w:val="22"/>
        </w:rPr>
        <w:t xml:space="preserve">Macroporosity is computed as 1 − (bulk density ÷ grain density), where grain density comes from the meteorite analogue of the asteroid's spectral class. A bulk density far below grain density indicates a rubble pile: a body that is largely empty space inside. The tool reproduces the accepted picture — Bennu and Ryugu around 50% porous, Itokawa around 40%, comet 67P around 70%.</w:t>
      </w:r>
    </w:p>
    <w:p>
      <w:pPr>
        <w:pStyle w:val="Heading1"/>
        <w:spacing w:after="160" w:before="320"/>
      </w:pPr>
      <w:r>
        <w:rPr>
          <w:rFonts w:ascii="Calibri" w:cs="Calibri" w:eastAsia="Calibri" w:hAnsi="Calibri"/>
        </w:rPr>
        <w:t xml:space="preserve">4. What the validation genuinely shows — and what it cannot show</w:t>
      </w:r>
    </w:p>
    <w:p>
      <w:pPr>
        <w:pStyle w:val="Heading2"/>
        <w:spacing w:after="120" w:before="240"/>
      </w:pPr>
      <w:r>
        <w:rPr>
          <w:rFonts w:ascii="Calibri" w:cs="Calibri" w:eastAsia="Calibri" w:hAnsi="Calibri"/>
        </w:rPr>
        <w:t xml:space="preserve">The spacecraft bodies: real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c>
          <w:tcPr>
            <w:tcW w:type="dxa" w:w="2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Body</w:t>
            </w:r>
          </w:p>
        </w:tc>
        <w:tc>
          <w:tcPr>
            <w:tcW w:type="dxa" w:w="26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Mission</w:t>
            </w:r>
          </w:p>
        </w:tc>
        <w:tc>
          <w:tcPr>
            <w:tcW w:type="dxa" w:w="2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BAGH_SIR ρ</w:t>
            </w:r>
          </w:p>
        </w:tc>
        <w:tc>
          <w:tcPr>
            <w:tcW w:type="dxa" w:w="22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Published ρ</w:t>
            </w:r>
          </w:p>
        </w:tc>
      </w:tr>
      <w:tr>
        <w:tc>
          <w:tcPr>
            <w:tcW w:type="dxa" w:w="2200"/>
            <w:tcMar>
              <w:top w:type="dxa" w:w="80"/>
              <w:left w:type="dxa" w:w="120"/>
              <w:bottom w:type="dxa" w:w="80"/>
              <w:right w:type="dxa" w:w="120"/>
            </w:tcMar>
          </w:tcPr>
          <w:p>
            <w:r>
              <w:rPr>
                <w:rFonts w:ascii="Calibri" w:cs="Calibri" w:eastAsia="Calibri" w:hAnsi="Calibri"/>
                <w:sz w:val="20"/>
                <w:szCs w:val="20"/>
              </w:rPr>
              <w:t xml:space="preserve">67P (comet)</w:t>
            </w:r>
          </w:p>
        </w:tc>
        <w:tc>
          <w:tcPr>
            <w:tcW w:type="dxa" w:w="2600"/>
            <w:tcMar>
              <w:top w:type="dxa" w:w="80"/>
              <w:left w:type="dxa" w:w="120"/>
              <w:bottom w:type="dxa" w:w="80"/>
              <w:right w:type="dxa" w:w="120"/>
            </w:tcMar>
          </w:tcPr>
          <w:p>
            <w:r>
              <w:rPr>
                <w:rFonts w:ascii="Calibri" w:cs="Calibri" w:eastAsia="Calibri" w:hAnsi="Calibri"/>
                <w:sz w:val="20"/>
                <w:szCs w:val="20"/>
              </w:rPr>
              <w:t xml:space="preserve">Rosetta / ESA</w:t>
            </w:r>
          </w:p>
        </w:tc>
        <w:tc>
          <w:tcPr>
            <w:tcW w:type="dxa" w:w="2300"/>
            <w:tcMar>
              <w:top w:type="dxa" w:w="80"/>
              <w:left w:type="dxa" w:w="120"/>
              <w:bottom w:type="dxa" w:w="80"/>
              <w:right w:type="dxa" w:w="120"/>
            </w:tcMar>
          </w:tcPr>
          <w:p>
            <w:r>
              <w:rPr>
                <w:rFonts w:ascii="Calibri" w:cs="Calibri" w:eastAsia="Calibri" w:hAnsi="Calibri"/>
                <w:sz w:val="20"/>
                <w:szCs w:val="20"/>
              </w:rPr>
              <w:t xml:space="preserve">0.535</w:t>
            </w:r>
          </w:p>
        </w:tc>
        <w:tc>
          <w:tcPr>
            <w:tcW w:type="dxa" w:w="2260"/>
            <w:tcMar>
              <w:top w:type="dxa" w:w="80"/>
              <w:left w:type="dxa" w:w="120"/>
              <w:bottom w:type="dxa" w:w="80"/>
              <w:right w:type="dxa" w:w="120"/>
            </w:tcMar>
          </w:tcPr>
          <w:p>
            <w:r>
              <w:rPr>
                <w:rFonts w:ascii="Calibri" w:cs="Calibri" w:eastAsia="Calibri" w:hAnsi="Calibri"/>
                <w:sz w:val="20"/>
                <w:szCs w:val="20"/>
              </w:rPr>
              <w:t xml:space="preserve">0.536</w:t>
            </w:r>
          </w:p>
        </w:tc>
      </w:tr>
      <w:tr>
        <w:tc>
          <w:tcPr>
            <w:tcW w:type="dxa" w:w="2200"/>
            <w:tcMar>
              <w:top w:type="dxa" w:w="80"/>
              <w:left w:type="dxa" w:w="120"/>
              <w:bottom w:type="dxa" w:w="80"/>
              <w:right w:type="dxa" w:w="120"/>
            </w:tcMar>
          </w:tcPr>
          <w:p>
            <w:r>
              <w:rPr>
                <w:rFonts w:ascii="Calibri" w:cs="Calibri" w:eastAsia="Calibri" w:hAnsi="Calibri"/>
                <w:sz w:val="20"/>
                <w:szCs w:val="20"/>
              </w:rPr>
              <w:t xml:space="preserve">Bennu</w:t>
            </w:r>
          </w:p>
        </w:tc>
        <w:tc>
          <w:tcPr>
            <w:tcW w:type="dxa" w:w="2600"/>
            <w:tcMar>
              <w:top w:type="dxa" w:w="80"/>
              <w:left w:type="dxa" w:w="120"/>
              <w:bottom w:type="dxa" w:w="80"/>
              <w:right w:type="dxa" w:w="120"/>
            </w:tcMar>
          </w:tcPr>
          <w:p>
            <w:r>
              <w:rPr>
                <w:rFonts w:ascii="Calibri" w:cs="Calibri" w:eastAsia="Calibri" w:hAnsi="Calibri"/>
                <w:sz w:val="20"/>
                <w:szCs w:val="20"/>
              </w:rPr>
              <w:t xml:space="preserve">OSIRIS-REx / NASA</w:t>
            </w:r>
          </w:p>
        </w:tc>
        <w:tc>
          <w:tcPr>
            <w:tcW w:type="dxa" w:w="2300"/>
            <w:tcMar>
              <w:top w:type="dxa" w:w="80"/>
              <w:left w:type="dxa" w:w="120"/>
              <w:bottom w:type="dxa" w:w="80"/>
              <w:right w:type="dxa" w:w="120"/>
            </w:tcMar>
          </w:tcPr>
          <w:p>
            <w:r>
              <w:rPr>
                <w:rFonts w:ascii="Calibri" w:cs="Calibri" w:eastAsia="Calibri" w:hAnsi="Calibri"/>
                <w:sz w:val="20"/>
                <w:szCs w:val="20"/>
              </w:rPr>
              <w:t xml:space="preserve">1.190</w:t>
            </w:r>
          </w:p>
        </w:tc>
        <w:tc>
          <w:tcPr>
            <w:tcW w:type="dxa" w:w="2260"/>
            <w:tcMar>
              <w:top w:type="dxa" w:w="80"/>
              <w:left w:type="dxa" w:w="120"/>
              <w:bottom w:type="dxa" w:w="80"/>
              <w:right w:type="dxa" w:w="120"/>
            </w:tcMar>
          </w:tcPr>
          <w:p>
            <w:r>
              <w:rPr>
                <w:rFonts w:ascii="Calibri" w:cs="Calibri" w:eastAsia="Calibri" w:hAnsi="Calibri"/>
                <w:sz w:val="20"/>
                <w:szCs w:val="20"/>
              </w:rPr>
              <w:t xml:space="preserve">1.190</w:t>
            </w:r>
          </w:p>
        </w:tc>
      </w:tr>
      <w:tr>
        <w:tc>
          <w:tcPr>
            <w:tcW w:type="dxa" w:w="2200"/>
            <w:tcMar>
              <w:top w:type="dxa" w:w="80"/>
              <w:left w:type="dxa" w:w="120"/>
              <w:bottom w:type="dxa" w:w="80"/>
              <w:right w:type="dxa" w:w="120"/>
            </w:tcMar>
          </w:tcPr>
          <w:p>
            <w:r>
              <w:rPr>
                <w:rFonts w:ascii="Calibri" w:cs="Calibri" w:eastAsia="Calibri" w:hAnsi="Calibri"/>
                <w:sz w:val="20"/>
                <w:szCs w:val="20"/>
              </w:rPr>
              <w:t xml:space="preserve">Ryugu</w:t>
            </w:r>
          </w:p>
        </w:tc>
        <w:tc>
          <w:tcPr>
            <w:tcW w:type="dxa" w:w="2600"/>
            <w:tcMar>
              <w:top w:type="dxa" w:w="80"/>
              <w:left w:type="dxa" w:w="120"/>
              <w:bottom w:type="dxa" w:w="80"/>
              <w:right w:type="dxa" w:w="120"/>
            </w:tcMar>
          </w:tcPr>
          <w:p>
            <w:r>
              <w:rPr>
                <w:rFonts w:ascii="Calibri" w:cs="Calibri" w:eastAsia="Calibri" w:hAnsi="Calibri"/>
                <w:sz w:val="20"/>
                <w:szCs w:val="20"/>
              </w:rPr>
              <w:t xml:space="preserve">Hayabusa2 / JAXA</w:t>
            </w:r>
          </w:p>
        </w:tc>
        <w:tc>
          <w:tcPr>
            <w:tcW w:type="dxa" w:w="2300"/>
            <w:tcMar>
              <w:top w:type="dxa" w:w="80"/>
              <w:left w:type="dxa" w:w="120"/>
              <w:bottom w:type="dxa" w:w="80"/>
              <w:right w:type="dxa" w:w="120"/>
            </w:tcMar>
          </w:tcPr>
          <w:p>
            <w:r>
              <w:rPr>
                <w:rFonts w:ascii="Calibri" w:cs="Calibri" w:eastAsia="Calibri" w:hAnsi="Calibri"/>
                <w:sz w:val="20"/>
                <w:szCs w:val="20"/>
              </w:rPr>
              <w:t xml:space="preserve">1.195</w:t>
            </w:r>
          </w:p>
        </w:tc>
        <w:tc>
          <w:tcPr>
            <w:tcW w:type="dxa" w:w="2260"/>
            <w:tcMar>
              <w:top w:type="dxa" w:w="80"/>
              <w:left w:type="dxa" w:w="120"/>
              <w:bottom w:type="dxa" w:w="80"/>
              <w:right w:type="dxa" w:w="120"/>
            </w:tcMar>
          </w:tcPr>
          <w:p>
            <w:r>
              <w:rPr>
                <w:rFonts w:ascii="Calibri" w:cs="Calibri" w:eastAsia="Calibri" w:hAnsi="Calibri"/>
                <w:sz w:val="20"/>
                <w:szCs w:val="20"/>
              </w:rPr>
              <w:t xml:space="preserve">1.19</w:t>
            </w:r>
          </w:p>
        </w:tc>
      </w:tr>
      <w:tr>
        <w:tc>
          <w:tcPr>
            <w:tcW w:type="dxa" w:w="2200"/>
            <w:tcMar>
              <w:top w:type="dxa" w:w="80"/>
              <w:left w:type="dxa" w:w="120"/>
              <w:bottom w:type="dxa" w:w="80"/>
              <w:right w:type="dxa" w:w="120"/>
            </w:tcMar>
          </w:tcPr>
          <w:p>
            <w:r>
              <w:rPr>
                <w:rFonts w:ascii="Calibri" w:cs="Calibri" w:eastAsia="Calibri" w:hAnsi="Calibri"/>
                <w:sz w:val="20"/>
                <w:szCs w:val="20"/>
              </w:rPr>
              <w:t xml:space="preserve">Itokawa</w:t>
            </w:r>
          </w:p>
        </w:tc>
        <w:tc>
          <w:tcPr>
            <w:tcW w:type="dxa" w:w="2600"/>
            <w:tcMar>
              <w:top w:type="dxa" w:w="80"/>
              <w:left w:type="dxa" w:w="120"/>
              <w:bottom w:type="dxa" w:w="80"/>
              <w:right w:type="dxa" w:w="120"/>
            </w:tcMar>
          </w:tcPr>
          <w:p>
            <w:r>
              <w:rPr>
                <w:rFonts w:ascii="Calibri" w:cs="Calibri" w:eastAsia="Calibri" w:hAnsi="Calibri"/>
                <w:sz w:val="20"/>
                <w:szCs w:val="20"/>
              </w:rPr>
              <w:t xml:space="preserve">Hayabusa / JAXA</w:t>
            </w:r>
          </w:p>
        </w:tc>
        <w:tc>
          <w:tcPr>
            <w:tcW w:type="dxa" w:w="2300"/>
            <w:tcMar>
              <w:top w:type="dxa" w:w="80"/>
              <w:left w:type="dxa" w:w="120"/>
              <w:bottom w:type="dxa" w:w="80"/>
              <w:right w:type="dxa" w:w="120"/>
            </w:tcMar>
          </w:tcPr>
          <w:p>
            <w:r>
              <w:rPr>
                <w:rFonts w:ascii="Calibri" w:cs="Calibri" w:eastAsia="Calibri" w:hAnsi="Calibri"/>
                <w:sz w:val="20"/>
                <w:szCs w:val="20"/>
              </w:rPr>
              <w:t xml:space="preserve">1.865</w:t>
            </w:r>
          </w:p>
        </w:tc>
        <w:tc>
          <w:tcPr>
            <w:tcW w:type="dxa" w:w="2260"/>
            <w:tcMar>
              <w:top w:type="dxa" w:w="80"/>
              <w:left w:type="dxa" w:w="120"/>
              <w:bottom w:type="dxa" w:w="80"/>
              <w:right w:type="dxa" w:w="120"/>
            </w:tcMar>
          </w:tcPr>
          <w:p>
            <w:r>
              <w:rPr>
                <w:rFonts w:ascii="Calibri" w:cs="Calibri" w:eastAsia="Calibri" w:hAnsi="Calibri"/>
                <w:sz w:val="20"/>
                <w:szCs w:val="20"/>
              </w:rPr>
              <w:t xml:space="preserve">1.9</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These four are meaningful. The shape models carry true physical scale, so the density falls out of the tool's own geometry plus the published mass, with no size fitting. Matching all four confirms that the volume computation is correct on real, irregular, mission-grade meshes. This is genuine validation of the code.</w:t>
      </w:r>
    </w:p>
    <w:p>
      <w:pPr>
        <w:pStyle w:val="Heading2"/>
        <w:spacing w:after="120" w:before="240"/>
      </w:pPr>
      <w:r>
        <w:rPr>
          <w:rFonts w:ascii="Calibri" w:cs="Calibri" w:eastAsia="Calibri" w:hAnsi="Calibri"/>
        </w:rPr>
        <w:t xml:space="preserve">The catalogue asteroids: a consistency check, not a validation</w:t>
      </w:r>
    </w:p>
    <w:p>
      <w:pPr>
        <w:spacing w:after="160" w:line="276"/>
      </w:pPr>
      <w:r>
        <w:rPr>
          <w:rFonts w:ascii="Calibri" w:cs="Calibri" w:eastAsia="Calibri" w:hAnsi="Calibri"/>
          <w:sz w:val="22"/>
          <w:szCs w:val="22"/>
        </w:rPr>
        <w:t xml:space="preserve">For the nine SiMDA asteroids (Pallas, Eros, Thetis, Bellona, Klymene, Artemis, Hippo, Balam, Lydia), the pipeline works differently, and this must be stated plainly. The shape model is scaled until its equivalent diameter equals the SiMDA diameter; the density is then the SiMDA mass divided by the resulting volume. But SiMDA's own published density is defined as exactly that same mass divided by the volume of a sphere of that same diameter. The two calculations are forced to agree by construction. The nine matches therefore cannot fail, and they do not test the tool. The honest label for this table is: 'consistency check — the pipeline correctly recovers the catalogue density it was seeded with.' Any reviewer will spot this within minutes, so it is far better that the author states it first.</w:t>
      </w:r>
    </w:p>
    <w:p>
      <w:pPr>
        <w:pStyle w:val="Heading2"/>
        <w:spacing w:after="120" w:before="240"/>
      </w:pPr>
      <w:r>
        <w:rPr>
          <w:rFonts w:ascii="Calibri" w:cs="Calibri" w:eastAsia="Calibri" w:hAnsi="Calibri"/>
        </w:rPr>
        <w:t xml:space="preserve">Summary of evidential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Claim</w:t>
            </w:r>
          </w:p>
        </w:tc>
        <w:tc>
          <w:tcPr>
            <w:tcW w:type="dxa" w:w="51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4200"/>
            <w:tcMar>
              <w:top w:type="dxa" w:w="80"/>
              <w:left w:type="dxa" w:w="120"/>
              <w:bottom w:type="dxa" w:w="80"/>
              <w:right w:type="dxa" w:w="120"/>
            </w:tcMar>
          </w:tcPr>
          <w:p>
            <w:r>
              <w:rPr>
                <w:rFonts w:ascii="Calibri" w:cs="Calibri" w:eastAsia="Calibri" w:hAnsi="Calibri"/>
                <w:sz w:val="20"/>
                <w:szCs w:val="20"/>
              </w:rPr>
              <w:t xml:space="preserve">Mesh volume code is correct</w:t>
            </w:r>
          </w:p>
        </w:tc>
        <w:tc>
          <w:tcPr>
            <w:tcW w:type="dxa" w:w="5160"/>
            <w:tcMar>
              <w:top w:type="dxa" w:w="80"/>
              <w:left w:type="dxa" w:w="120"/>
              <w:bottom w:type="dxa" w:w="80"/>
              <w:right w:type="dxa" w:w="120"/>
            </w:tcMar>
          </w:tcPr>
          <w:p>
            <w:r>
              <w:rPr>
                <w:rFonts w:ascii="Calibri" w:cs="Calibri" w:eastAsia="Calibri" w:hAnsi="Calibri"/>
                <w:sz w:val="20"/>
                <w:szCs w:val="20"/>
              </w:rPr>
              <w:t xml:space="preserve">Proven (spacecraft bodies, self-tests on cube and sphere)</w:t>
            </w:r>
          </w:p>
        </w:tc>
      </w:tr>
      <w:tr>
        <w:tc>
          <w:tcPr>
            <w:tcW w:type="dxa" w:w="4200"/>
            <w:tcMar>
              <w:top w:type="dxa" w:w="80"/>
              <w:left w:type="dxa" w:w="120"/>
              <w:bottom w:type="dxa" w:w="80"/>
              <w:right w:type="dxa" w:w="120"/>
            </w:tcMar>
          </w:tcPr>
          <w:p>
            <w:r>
              <w:rPr>
                <w:rFonts w:ascii="Calibri" w:cs="Calibri" w:eastAsia="Calibri" w:hAnsi="Calibri"/>
                <w:sz w:val="20"/>
                <w:szCs w:val="20"/>
              </w:rPr>
              <w:t xml:space="preserve">Two-method agreement</w:t>
            </w:r>
          </w:p>
        </w:tc>
        <w:tc>
          <w:tcPr>
            <w:tcW w:type="dxa" w:w="5160"/>
            <w:tcMar>
              <w:top w:type="dxa" w:w="80"/>
              <w:left w:type="dxa" w:w="120"/>
              <w:bottom w:type="dxa" w:w="80"/>
              <w:right w:type="dxa" w:w="120"/>
            </w:tcMar>
          </w:tcPr>
          <w:p>
            <w:r>
              <w:rPr>
                <w:rFonts w:ascii="Calibri" w:cs="Calibri" w:eastAsia="Calibri" w:hAnsi="Calibri"/>
                <w:sz w:val="20"/>
                <w:szCs w:val="20"/>
              </w:rPr>
              <w:t xml:space="preserve">Real, but it is a self-consistency check of one identity</w:t>
            </w:r>
          </w:p>
        </w:tc>
      </w:tr>
      <w:tr>
        <w:tc>
          <w:tcPr>
            <w:tcW w:type="dxa" w:w="4200"/>
            <w:tcMar>
              <w:top w:type="dxa" w:w="80"/>
              <w:left w:type="dxa" w:w="120"/>
              <w:bottom w:type="dxa" w:w="80"/>
              <w:right w:type="dxa" w:w="120"/>
            </w:tcMar>
          </w:tcPr>
          <w:p>
            <w:r>
              <w:rPr>
                <w:rFonts w:ascii="Calibri" w:cs="Calibri" w:eastAsia="Calibri" w:hAnsi="Calibri"/>
                <w:sz w:val="20"/>
                <w:szCs w:val="20"/>
              </w:rPr>
              <w:t xml:space="preserve">Catalogue density matches</w:t>
            </w:r>
          </w:p>
        </w:tc>
        <w:tc>
          <w:tcPr>
            <w:tcW w:type="dxa" w:w="5160"/>
            <w:tcMar>
              <w:top w:type="dxa" w:w="80"/>
              <w:left w:type="dxa" w:w="120"/>
              <w:bottom w:type="dxa" w:w="80"/>
              <w:right w:type="dxa" w:w="120"/>
            </w:tcMar>
          </w:tcPr>
          <w:p>
            <w:r>
              <w:rPr>
                <w:rFonts w:ascii="Calibri" w:cs="Calibri" w:eastAsia="Calibri" w:hAnsi="Calibri"/>
                <w:sz w:val="20"/>
                <w:szCs w:val="20"/>
              </w:rPr>
              <w:t xml:space="preserve">Circular by construction — relabel as consistency check</w:t>
            </w:r>
          </w:p>
        </w:tc>
      </w:tr>
      <w:tr>
        <w:tc>
          <w:tcPr>
            <w:tcW w:type="dxa" w:w="4200"/>
            <w:tcMar>
              <w:top w:type="dxa" w:w="80"/>
              <w:left w:type="dxa" w:w="120"/>
              <w:bottom w:type="dxa" w:w="80"/>
              <w:right w:type="dxa" w:w="120"/>
            </w:tcMar>
          </w:tcPr>
          <w:p>
            <w:r>
              <w:rPr>
                <w:rFonts w:ascii="Calibri" w:cs="Calibri" w:eastAsia="Calibri" w:hAnsi="Calibri"/>
                <w:sz w:val="20"/>
                <w:szCs w:val="20"/>
              </w:rPr>
              <w:t xml:space="preserve">Shape-uncertainty figures</w:t>
            </w:r>
          </w:p>
        </w:tc>
        <w:tc>
          <w:tcPr>
            <w:tcW w:type="dxa" w:w="5160"/>
            <w:tcMar>
              <w:top w:type="dxa" w:w="80"/>
              <w:left w:type="dxa" w:w="120"/>
              <w:bottom w:type="dxa" w:w="80"/>
              <w:right w:type="dxa" w:w="120"/>
            </w:tcMar>
          </w:tcPr>
          <w:p>
            <w:r>
              <w:rPr>
                <w:rFonts w:ascii="Calibri" w:cs="Calibri" w:eastAsia="Calibri" w:hAnsi="Calibri"/>
                <w:sz w:val="20"/>
                <w:szCs w:val="20"/>
              </w:rPr>
              <w:t xml:space="preserve">Correct and genuinely informative</w:t>
            </w:r>
          </w:p>
        </w:tc>
      </w:tr>
      <w:tr>
        <w:tc>
          <w:tcPr>
            <w:tcW w:type="dxa" w:w="4200"/>
            <w:tcMar>
              <w:top w:type="dxa" w:w="80"/>
              <w:left w:type="dxa" w:w="120"/>
              <w:bottom w:type="dxa" w:w="80"/>
              <w:right w:type="dxa" w:w="120"/>
            </w:tcMar>
          </w:tcPr>
          <w:p>
            <w:r>
              <w:rPr>
                <w:rFonts w:ascii="Calibri" w:cs="Calibri" w:eastAsia="Calibri" w:hAnsi="Calibri"/>
                <w:sz w:val="20"/>
                <w:szCs w:val="20"/>
              </w:rPr>
              <w:t xml:space="preserve">Porosity estimates</w:t>
            </w:r>
          </w:p>
        </w:tc>
        <w:tc>
          <w:tcPr>
            <w:tcW w:type="dxa" w:w="5160"/>
            <w:tcMar>
              <w:top w:type="dxa" w:w="80"/>
              <w:left w:type="dxa" w:w="120"/>
              <w:bottom w:type="dxa" w:w="80"/>
              <w:right w:type="dxa" w:w="120"/>
            </w:tcMar>
          </w:tcPr>
          <w:p>
            <w:r>
              <w:rPr>
                <w:rFonts w:ascii="Calibri" w:cs="Calibri" w:eastAsia="Calibri" w:hAnsi="Calibri"/>
                <w:sz w:val="20"/>
                <w:szCs w:val="20"/>
              </w:rPr>
              <w:t xml:space="preserve">Correct given the grain-density assumption</w:t>
            </w:r>
          </w:p>
        </w:tc>
      </w:tr>
      <w:tr>
        <w:tc>
          <w:tcPr>
            <w:tcW w:type="dxa" w:w="4200"/>
            <w:tcMar>
              <w:top w:type="dxa" w:w="80"/>
              <w:left w:type="dxa" w:w="120"/>
              <w:bottom w:type="dxa" w:w="80"/>
              <w:right w:type="dxa" w:w="120"/>
            </w:tcMar>
          </w:tcPr>
          <w:p>
            <w:r>
              <w:rPr>
                <w:rFonts w:ascii="Calibri" w:cs="Calibri" w:eastAsia="Calibri" w:hAnsi="Calibri"/>
                <w:sz w:val="20"/>
                <w:szCs w:val="20"/>
              </w:rPr>
              <w:t xml:space="preserve">VIT equations as new mathematics</w:t>
            </w:r>
          </w:p>
        </w:tc>
        <w:tc>
          <w:tcPr>
            <w:tcW w:type="dxa" w:w="5160"/>
            <w:tcMar>
              <w:top w:type="dxa" w:w="80"/>
              <w:left w:type="dxa" w:w="120"/>
              <w:bottom w:type="dxa" w:w="80"/>
              <w:right w:type="dxa" w:w="120"/>
            </w:tcMar>
          </w:tcPr>
          <w:p>
            <w:r>
              <w:rPr>
                <w:rFonts w:ascii="Calibri" w:cs="Calibri" w:eastAsia="Calibri" w:hAnsi="Calibri"/>
                <w:sz w:val="20"/>
                <w:szCs w:val="20"/>
              </w:rPr>
              <w:t xml:space="preserve">Not supported — reframe as narration of standard geometry</w:t>
            </w:r>
          </w:p>
        </w:tc>
      </w:tr>
    </w:tbl>
    <w:p>
      <w:pPr>
        <w:pStyle w:val="Heading1"/>
        <w:spacing w:after="160" w:before="320"/>
      </w:pPr>
      <w:r>
        <w:rPr>
          <w:rFonts w:ascii="Calibri" w:cs="Calibri" w:eastAsia="Calibri" w:hAnsi="Calibri"/>
        </w:rPr>
        <w:t xml:space="preserve">5. The density audit — an independent reproduction and systematization</w:t>
      </w:r>
    </w:p>
    <w:p>
      <w:pPr>
        <w:spacing w:after="160" w:line="276"/>
      </w:pPr>
      <w:r>
        <w:rPr>
          <w:rFonts w:ascii="Calibri" w:cs="Calibri" w:eastAsia="Calibri" w:hAnsi="Calibri"/>
          <w:sz w:val="22"/>
          <w:szCs w:val="22"/>
        </w:rPr>
        <w:t xml:space="preserve">The strongest thread in this work is the physical-plausibility audit of the SiMDA catalogue. The reasoning is simple and airtight: a body's bulk density can never exceed the grain density of the solid rock it is made of, because porosity can only lower density, never raise it. Yet several carbonaceous (C and P class) asteroids in the catalogue carry published bulk densities of 4.5–6.1 g/cm³, well above the ~2.2–2.9 g/cm³ grain density of carbonaceous meteorites. These entries are physically impossible as published. Because the diameters of these bodies are comparatively well measured, the error almost certainly sits in the mass, and each flag becomes a falsifiable prediction: a mass redetermination (for example from Gaia astrometry) should drop each by roughly a factor of 2–4, giving a normal carbonaceous density of ~1.3–1.7 g/cm³. (110) Lydia is the weakest case in the set, because metal-rich grain densities are genuinely uncertain; it should be presented last, not first.</w:t>
      </w:r>
    </w:p>
    <w:p>
      <w:pPr>
        <w:pStyle w:val="Heading2"/>
        <w:spacing w:after="120" w:before="240"/>
      </w:pPr>
      <w:r>
        <w:rPr>
          <w:rFonts w:ascii="Calibri" w:cs="Calibri" w:eastAsia="Calibri" w:hAnsi="Calibri"/>
        </w:rPr>
        <w:t xml:space="preserve">Where this stands relative to the published literature</w:t>
      </w:r>
    </w:p>
    <w:p>
      <w:pPr>
        <w:spacing w:after="160" w:line="276"/>
      </w:pPr>
      <w:r>
        <w:rPr>
          <w:rFonts w:ascii="Calibri" w:cs="Calibri" w:eastAsia="Calibri" w:hAnsi="Calibri"/>
          <w:sz w:val="22"/>
          <w:szCs w:val="22"/>
        </w:rPr>
        <w:t xml:space="preserve">This approach is not new to the field, and the documents should say so plainly, with citations. The bulk-versus-grain-density framework for judging asteroid interiors was established by Britt et al. (2002). Carry (2012) reviewed masses and densities for ~250 asteroids and attached quality ranks, explicitly tagging unrealistic densities — SiMDA's own 'X' rank descends from that work. Most directly, Hanuš et al. (2013), combining shape models with Keck adaptive-optics sizes, concluded that Carry's unrealistic density for one flagged body is explained by a mass overestimated by a factor of ~3.5, and that (34) Circe is a similar case, with its mass most likely overestimated by a factor of ~2 — the same conclusion, with the same correction factor, that this audit reaches independently. For (102) Miriam, a newer INPOP ephemeris mass (Fienga et al. 2020) of roughly 1.0×10¹⁸ kg already lowers the density to about 3.4 g/cm³ — below the old value but still above this audit's predicted range, so Miriam remains genuinely unsettled.</w:t>
      </w:r>
    </w:p>
    <w:p>
      <w:pPr>
        <w:pStyle w:val="Heading2"/>
        <w:spacing w:after="120" w:before="240"/>
      </w:pPr>
      <w:r>
        <w:rPr>
          <w:rFonts w:ascii="Calibri" w:cs="Calibri" w:eastAsia="Calibri" w:hAnsi="Calibri"/>
        </w:rPr>
        <w:t xml:space="preserve">What is honestly claimable</w:t>
      </w:r>
    </w:p>
    <w:p>
      <w:pPr>
        <w:spacing w:after="160" w:line="276"/>
      </w:pPr>
      <w:r>
        <w:rPr>
          <w:rFonts w:ascii="Calibri" w:cs="Calibri" w:eastAsia="Calibri" w:hAnsi="Calibri"/>
          <w:sz w:val="22"/>
          <w:szCs w:val="22"/>
        </w:rPr>
        <w:t xml:space="preserve">Three things. First, independent confirmation: this audit reached the published community's conclusions — including the Circe mass factor — without prior knowledge of those papers, which is strong evidence the physical reasoning is sound. Second, systematization: the prior flags are scattered across individual papers; a single, reproducible, catalogue-wide audit of the modern SiMDA dataset, with explicit predicted mass ranges for every flagged body and open code, does not appear to have been published — though a careful literature check of recent Gaia mass papers is required before asserting even this narrower claim. Third, packaging as falsifiable predictions: stating in advance the numeric range each future measurement should land in, so the method itself can be tested. The correct framing sentence is: 'This audit independently reproduces and extends published concerns (Carry 2012; Hanuš et al. 2013) about physically implausible catalogue densities, and packages them as explicit falsifiable predictions with open code.'</w:t>
      </w:r>
    </w:p>
    <w:p>
      <w:pPr>
        <w:spacing w:after="160" w:line="276"/>
      </w:pPr>
      <w:r>
        <w:rPr>
          <w:rFonts w:ascii="Calibri" w:cs="Calibri" w:eastAsia="Calibri" w:hAnsi="Calibri"/>
          <w:sz w:val="22"/>
          <w:szCs w:val="22"/>
        </w:rPr>
        <w:t xml:space="preserve">Two further caveats belong next to the claim. First, the audit does not require BAGH_SIR — it requires only the catalogue and grain-density limits; the tool's role is that it motivated the audit and provides the shape-based volumes. Second, the audit extends the catalogue's own quality control (Carry's ranks, SiMDA's X flag) downward using composition; it refines that system rather than overturning it.</w:t>
      </w:r>
    </w:p>
    <w:p>
      <w:pPr>
        <w:pStyle w:val="Heading1"/>
        <w:spacing w:after="160" w:before="320"/>
      </w:pPr>
      <w:r>
        <w:rPr>
          <w:rFonts w:ascii="Calibri" w:cs="Calibri" w:eastAsia="Calibri" w:hAnsi="Calibri"/>
        </w:rPr>
        <w:t xml:space="preserve">6. The falsifiable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160"/>
        <w:gridCol w:w="3000"/>
      </w:tblGrid>
      <w:tr>
        <w:tc>
          <w:tcPr>
            <w:tcW w:type="dxa" w:w="19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Asteroid</w:t>
            </w:r>
          </w:p>
        </w:tc>
        <w:tc>
          <w:tcPr>
            <w:tcW w:type="dxa" w:w="13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Published ρ</w:t>
            </w:r>
          </w:p>
        </w:tc>
        <w:tc>
          <w:tcPr>
            <w:tcW w:type="dxa" w:w="316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Prediction</w:t>
            </w:r>
          </w:p>
        </w:tc>
        <w:tc>
          <w:tcPr>
            <w:tcW w:type="dxa" w:w="3000"/>
            <w:shd w:fill="1F3B57" w:val="clear"/>
            <w:tcMar>
              <w:top w:type="dxa" w:w="80"/>
              <w:left w:type="dxa" w:w="120"/>
              <w:bottom w:type="dxa" w:w="80"/>
              <w:right w:type="dxa" w:w="120"/>
            </w:tcMar>
          </w:tcPr>
          <w:p>
            <w:r>
              <w:rPr>
                <w:rFonts w:ascii="Calibri" w:cs="Calibri" w:eastAsia="Calibri" w:hAnsi="Calibri"/>
                <w:b/>
                <w:bCs/>
                <w:color w:val="FFFFFF"/>
                <w:sz w:val="20"/>
                <w:szCs w:val="20"/>
              </w:rPr>
              <w:t xml:space="preserve">Prior literature status</w:t>
            </w:r>
          </w:p>
        </w:tc>
      </w:tr>
      <w:tr>
        <w:tc>
          <w:tcPr>
            <w:tcW w:type="dxa" w:w="1900"/>
            <w:tcMar>
              <w:top w:type="dxa" w:w="80"/>
              <w:left w:type="dxa" w:w="120"/>
              <w:bottom w:type="dxa" w:w="80"/>
              <w:right w:type="dxa" w:w="120"/>
            </w:tcMar>
          </w:tcPr>
          <w:p>
            <w:r>
              <w:rPr>
                <w:rFonts w:ascii="Calibri" w:cs="Calibri" w:eastAsia="Calibri" w:hAnsi="Calibri"/>
                <w:sz w:val="20"/>
                <w:szCs w:val="20"/>
              </w:rPr>
              <w:t xml:space="preserve">(206) Hersilia (C)</w:t>
            </w:r>
          </w:p>
        </w:tc>
        <w:tc>
          <w:tcPr>
            <w:tcW w:type="dxa" w:w="1300"/>
            <w:tcMar>
              <w:top w:type="dxa" w:w="80"/>
              <w:left w:type="dxa" w:w="120"/>
              <w:bottom w:type="dxa" w:w="80"/>
              <w:right w:type="dxa" w:w="120"/>
            </w:tcMar>
          </w:tcPr>
          <w:p>
            <w:r>
              <w:rPr>
                <w:rFonts w:ascii="Calibri" w:cs="Calibri" w:eastAsia="Calibri" w:hAnsi="Calibri"/>
                <w:sz w:val="20"/>
                <w:szCs w:val="20"/>
              </w:rPr>
              <w:t xml:space="preserve">6.08</w:t>
            </w:r>
          </w:p>
        </w:tc>
        <w:tc>
          <w:tcPr>
            <w:tcW w:type="dxa" w:w="3160"/>
            <w:tcMar>
              <w:top w:type="dxa" w:w="80"/>
              <w:left w:type="dxa" w:w="120"/>
              <w:bottom w:type="dxa" w:w="80"/>
              <w:right w:type="dxa" w:w="120"/>
            </w:tcMar>
          </w:tcPr>
          <w:p>
            <w:r>
              <w:rPr>
                <w:rFonts w:ascii="Calibri" w:cs="Calibri" w:eastAsia="Calibri" w:hAnsi="Calibri"/>
                <w:sz w:val="20"/>
                <w:szCs w:val="20"/>
              </w:rPr>
              <w:t xml:space="preserve">mass ≈ 0.6–0.8×10¹⁸ kg → ρ 1.3–1.7</w:t>
            </w:r>
          </w:p>
        </w:tc>
        <w:tc>
          <w:tcPr>
            <w:tcW w:type="dxa" w:w="3000"/>
            <w:tcMar>
              <w:top w:type="dxa" w:w="80"/>
              <w:left w:type="dxa" w:w="120"/>
              <w:bottom w:type="dxa" w:w="80"/>
              <w:right w:type="dxa" w:w="120"/>
            </w:tcMar>
          </w:tcPr>
          <w:p>
            <w:r>
              <w:rPr>
                <w:rFonts w:ascii="Calibri" w:cs="Calibri" w:eastAsia="Calibri" w:hAnsi="Calibri"/>
                <w:sz w:val="20"/>
                <w:szCs w:val="20"/>
              </w:rPr>
              <w:t xml:space="preserve">no specific published correction found</w:t>
            </w:r>
          </w:p>
        </w:tc>
      </w:tr>
      <w:tr>
        <w:tc>
          <w:tcPr>
            <w:tcW w:type="dxa" w:w="1900"/>
            <w:tcMar>
              <w:top w:type="dxa" w:w="80"/>
              <w:left w:type="dxa" w:w="120"/>
              <w:bottom w:type="dxa" w:w="80"/>
              <w:right w:type="dxa" w:w="120"/>
            </w:tcMar>
          </w:tcPr>
          <w:p>
            <w:r>
              <w:rPr>
                <w:rFonts w:ascii="Calibri" w:cs="Calibri" w:eastAsia="Calibri" w:hAnsi="Calibri"/>
                <w:sz w:val="20"/>
                <w:szCs w:val="20"/>
              </w:rPr>
              <w:t xml:space="preserve">(410) Chloris (C)</w:t>
            </w:r>
          </w:p>
        </w:tc>
        <w:tc>
          <w:tcPr>
            <w:tcW w:type="dxa" w:w="1300"/>
            <w:tcMar>
              <w:top w:type="dxa" w:w="80"/>
              <w:left w:type="dxa" w:w="120"/>
              <w:bottom w:type="dxa" w:w="80"/>
              <w:right w:type="dxa" w:w="120"/>
            </w:tcMar>
          </w:tcPr>
          <w:p>
            <w:r>
              <w:rPr>
                <w:rFonts w:ascii="Calibri" w:cs="Calibri" w:eastAsia="Calibri" w:hAnsi="Calibri"/>
                <w:sz w:val="20"/>
                <w:szCs w:val="20"/>
              </w:rPr>
              <w:t xml:space="preserve">4.96</w:t>
            </w:r>
          </w:p>
        </w:tc>
        <w:tc>
          <w:tcPr>
            <w:tcW w:type="dxa" w:w="3160"/>
            <w:tcMar>
              <w:top w:type="dxa" w:w="80"/>
              <w:left w:type="dxa" w:w="120"/>
              <w:bottom w:type="dxa" w:w="80"/>
              <w:right w:type="dxa" w:w="120"/>
            </w:tcMar>
          </w:tcPr>
          <w:p>
            <w:r>
              <w:rPr>
                <w:rFonts w:ascii="Calibri" w:cs="Calibri" w:eastAsia="Calibri" w:hAnsi="Calibri"/>
                <w:sz w:val="20"/>
                <w:szCs w:val="20"/>
              </w:rPr>
              <w:t xml:space="preserve">mass ≈ 1.2–1.6×10¹⁸ kg → ρ 1.3–1.7</w:t>
            </w:r>
          </w:p>
        </w:tc>
        <w:tc>
          <w:tcPr>
            <w:tcW w:type="dxa" w:w="3000"/>
            <w:tcMar>
              <w:top w:type="dxa" w:w="80"/>
              <w:left w:type="dxa" w:w="120"/>
              <w:bottom w:type="dxa" w:w="80"/>
              <w:right w:type="dxa" w:w="120"/>
            </w:tcMar>
          </w:tcPr>
          <w:p>
            <w:r>
              <w:rPr>
                <w:rFonts w:ascii="Calibri" w:cs="Calibri" w:eastAsia="Calibri" w:hAnsi="Calibri"/>
                <w:sz w:val="20"/>
                <w:szCs w:val="20"/>
              </w:rPr>
              <w:t xml:space="preserve">flagged unrealistic (Carry 2012)</w:t>
            </w:r>
          </w:p>
        </w:tc>
      </w:tr>
      <w:tr>
        <w:tc>
          <w:tcPr>
            <w:tcW w:type="dxa" w:w="1900"/>
            <w:tcMar>
              <w:top w:type="dxa" w:w="80"/>
              <w:left w:type="dxa" w:w="120"/>
              <w:bottom w:type="dxa" w:w="80"/>
              <w:right w:type="dxa" w:w="120"/>
            </w:tcMar>
          </w:tcPr>
          <w:p>
            <w:r>
              <w:rPr>
                <w:rFonts w:ascii="Calibri" w:cs="Calibri" w:eastAsia="Calibri" w:hAnsi="Calibri"/>
                <w:sz w:val="20"/>
                <w:szCs w:val="20"/>
              </w:rPr>
              <w:t xml:space="preserve">(34) Circe (C)</w:t>
            </w:r>
          </w:p>
        </w:tc>
        <w:tc>
          <w:tcPr>
            <w:tcW w:type="dxa" w:w="1300"/>
            <w:tcMar>
              <w:top w:type="dxa" w:w="80"/>
              <w:left w:type="dxa" w:w="120"/>
              <w:bottom w:type="dxa" w:w="80"/>
              <w:right w:type="dxa" w:w="120"/>
            </w:tcMar>
          </w:tcPr>
          <w:p>
            <w:r>
              <w:rPr>
                <w:rFonts w:ascii="Calibri" w:cs="Calibri" w:eastAsia="Calibri" w:hAnsi="Calibri"/>
                <w:sz w:val="20"/>
                <w:szCs w:val="20"/>
              </w:rPr>
              <w:t xml:space="preserve">4.63</w:t>
            </w:r>
          </w:p>
        </w:tc>
        <w:tc>
          <w:tcPr>
            <w:tcW w:type="dxa" w:w="3160"/>
            <w:tcMar>
              <w:top w:type="dxa" w:w="80"/>
              <w:left w:type="dxa" w:w="120"/>
              <w:bottom w:type="dxa" w:w="80"/>
              <w:right w:type="dxa" w:w="120"/>
            </w:tcMar>
          </w:tcPr>
          <w:p>
            <w:r>
              <w:rPr>
                <w:rFonts w:ascii="Calibri" w:cs="Calibri" w:eastAsia="Calibri" w:hAnsi="Calibri"/>
                <w:sz w:val="20"/>
                <w:szCs w:val="20"/>
              </w:rPr>
              <w:t xml:space="preserve">mass ≈ 1.0–1.3×10¹⁸ kg → ρ 1.3–1.7</w:t>
            </w:r>
          </w:p>
        </w:tc>
        <w:tc>
          <w:tcPr>
            <w:tcW w:type="dxa" w:w="3000"/>
            <w:tcMar>
              <w:top w:type="dxa" w:w="80"/>
              <w:left w:type="dxa" w:w="120"/>
              <w:bottom w:type="dxa" w:w="80"/>
              <w:right w:type="dxa" w:w="120"/>
            </w:tcMar>
          </w:tcPr>
          <w:p>
            <w:r>
              <w:rPr>
                <w:rFonts w:ascii="Calibri" w:cs="Calibri" w:eastAsia="Calibri" w:hAnsi="Calibri"/>
                <w:sz w:val="20"/>
                <w:szCs w:val="20"/>
              </w:rPr>
              <w:t xml:space="preserve">mass ~2× too high already published (Hanuš+2013) — agrees with this audit</w:t>
            </w:r>
          </w:p>
        </w:tc>
      </w:tr>
      <w:tr>
        <w:tc>
          <w:tcPr>
            <w:tcW w:type="dxa" w:w="1900"/>
            <w:tcMar>
              <w:top w:type="dxa" w:w="80"/>
              <w:left w:type="dxa" w:w="120"/>
              <w:bottom w:type="dxa" w:w="80"/>
              <w:right w:type="dxa" w:w="120"/>
            </w:tcMar>
          </w:tcPr>
          <w:p>
            <w:r>
              <w:rPr>
                <w:rFonts w:ascii="Calibri" w:cs="Calibri" w:eastAsia="Calibri" w:hAnsi="Calibri"/>
                <w:sz w:val="20"/>
                <w:szCs w:val="20"/>
              </w:rPr>
              <w:t xml:space="preserve">(102) Miriam (P)</w:t>
            </w:r>
          </w:p>
        </w:tc>
        <w:tc>
          <w:tcPr>
            <w:tcW w:type="dxa" w:w="1300"/>
            <w:tcMar>
              <w:top w:type="dxa" w:w="80"/>
              <w:left w:type="dxa" w:w="120"/>
              <w:bottom w:type="dxa" w:w="80"/>
              <w:right w:type="dxa" w:w="120"/>
            </w:tcMar>
          </w:tcPr>
          <w:p>
            <w:r>
              <w:rPr>
                <w:rFonts w:ascii="Calibri" w:cs="Calibri" w:eastAsia="Calibri" w:hAnsi="Calibri"/>
                <w:sz w:val="20"/>
                <w:szCs w:val="20"/>
              </w:rPr>
              <w:t xml:space="preserve">4.46</w:t>
            </w:r>
          </w:p>
        </w:tc>
        <w:tc>
          <w:tcPr>
            <w:tcW w:type="dxa" w:w="3160"/>
            <w:tcMar>
              <w:top w:type="dxa" w:w="80"/>
              <w:left w:type="dxa" w:w="120"/>
              <w:bottom w:type="dxa" w:w="80"/>
              <w:right w:type="dxa" w:w="120"/>
            </w:tcMar>
          </w:tcPr>
          <w:p>
            <w:r>
              <w:rPr>
                <w:rFonts w:ascii="Calibri" w:cs="Calibri" w:eastAsia="Calibri" w:hAnsi="Calibri"/>
                <w:sz w:val="20"/>
                <w:szCs w:val="20"/>
              </w:rPr>
              <w:t xml:space="preserve">mass ≈ 0.4–0.5×10¹⁸ kg → ρ 1.0–1.5</w:t>
            </w:r>
          </w:p>
        </w:tc>
        <w:tc>
          <w:tcPr>
            <w:tcW w:type="dxa" w:w="3000"/>
            <w:tcMar>
              <w:top w:type="dxa" w:w="80"/>
              <w:left w:type="dxa" w:w="120"/>
              <w:bottom w:type="dxa" w:w="80"/>
              <w:right w:type="dxa" w:w="120"/>
            </w:tcMar>
          </w:tcPr>
          <w:p>
            <w:r>
              <w:rPr>
                <w:rFonts w:ascii="Calibri" w:cs="Calibri" w:eastAsia="Calibri" w:hAnsi="Calibri"/>
                <w:sz w:val="20"/>
                <w:szCs w:val="20"/>
              </w:rPr>
              <w:t xml:space="preserve">newer INPOP mass gives ρ≈3.4 (Fienga+2020) — still unsettled</w:t>
            </w:r>
          </w:p>
        </w:tc>
      </w:tr>
      <w:tr>
        <w:tc>
          <w:tcPr>
            <w:tcW w:type="dxa" w:w="1900"/>
            <w:tcMar>
              <w:top w:type="dxa" w:w="80"/>
              <w:left w:type="dxa" w:w="120"/>
              <w:bottom w:type="dxa" w:w="80"/>
              <w:right w:type="dxa" w:w="120"/>
            </w:tcMar>
          </w:tcPr>
          <w:p>
            <w:r>
              <w:rPr>
                <w:rFonts w:ascii="Calibri" w:cs="Calibri" w:eastAsia="Calibri" w:hAnsi="Calibri"/>
                <w:sz w:val="20"/>
                <w:szCs w:val="20"/>
              </w:rPr>
              <w:t xml:space="preserve">(110) Lydia (M)</w:t>
            </w:r>
          </w:p>
        </w:tc>
        <w:tc>
          <w:tcPr>
            <w:tcW w:type="dxa" w:w="1300"/>
            <w:tcMar>
              <w:top w:type="dxa" w:w="80"/>
              <w:left w:type="dxa" w:w="120"/>
              <w:bottom w:type="dxa" w:w="80"/>
              <w:right w:type="dxa" w:w="120"/>
            </w:tcMar>
          </w:tcPr>
          <w:p>
            <w:r>
              <w:rPr>
                <w:rFonts w:ascii="Calibri" w:cs="Calibri" w:eastAsia="Calibri" w:hAnsi="Calibri"/>
                <w:sz w:val="20"/>
                <w:szCs w:val="20"/>
              </w:rPr>
              <w:t xml:space="preserve">4.88</w:t>
            </w:r>
          </w:p>
        </w:tc>
        <w:tc>
          <w:tcPr>
            <w:tcW w:type="dxa" w:w="3160"/>
            <w:tcMar>
              <w:top w:type="dxa" w:w="80"/>
              <w:left w:type="dxa" w:w="120"/>
              <w:bottom w:type="dxa" w:w="80"/>
              <w:right w:type="dxa" w:w="120"/>
            </w:tcMar>
          </w:tcPr>
          <w:p>
            <w:r>
              <w:rPr>
                <w:rFonts w:ascii="Calibri" w:cs="Calibri" w:eastAsia="Calibri" w:hAnsi="Calibri"/>
                <w:sz w:val="20"/>
                <w:szCs w:val="20"/>
              </w:rPr>
              <w:t xml:space="preserve">diameter 86–95 km → ρ 2.7–3.7</w:t>
            </w:r>
          </w:p>
        </w:tc>
        <w:tc>
          <w:tcPr>
            <w:tcW w:type="dxa" w:w="3000"/>
            <w:tcMar>
              <w:top w:type="dxa" w:w="80"/>
              <w:left w:type="dxa" w:w="120"/>
              <w:bottom w:type="dxa" w:w="80"/>
              <w:right w:type="dxa" w:w="120"/>
            </w:tcMar>
          </w:tcPr>
          <w:p>
            <w:r>
              <w:rPr>
                <w:rFonts w:ascii="Calibri" w:cs="Calibri" w:eastAsia="Calibri" w:hAnsi="Calibri"/>
                <w:sz w:val="20"/>
                <w:szCs w:val="20"/>
              </w:rPr>
              <w:t xml:space="preserve">weakest case; metal grain density uncertain</w:t>
            </w:r>
          </w:p>
        </w:tc>
      </w:tr>
    </w:tbl>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Each row is a statement that a future measurement can prove wrong. Where the literature has already moved (Circe, partially Miriam), the agreement independently confirms the audit's reasoning; where it has not (Hersilia, Chloris), the predictions remain open and testable. Decisive tests: mass redeterminations (Gaia astrometry, planetary ephemerides) for the carbonaceous bodies; a stellar occultation size for Lydia.</w:t>
      </w:r>
    </w:p>
    <w:p>
      <w:pPr>
        <w:pStyle w:val="Heading1"/>
        <w:spacing w:after="160" w:before="320"/>
      </w:pPr>
      <w:r>
        <w:rPr>
          <w:rFonts w:ascii="Calibri" w:cs="Calibri" w:eastAsia="Calibri" w:hAnsi="Calibri"/>
        </w:rPr>
        <w:t xml:space="preserve">7. Honest limitations</w:t>
      </w:r>
    </w:p>
    <w:p>
      <w:pPr>
        <w:pStyle w:val="ListParagraph"/>
        <w:numPr>
          <w:ilvl w:val="0"/>
          <w:numId w:val="2"/>
        </w:numPr>
        <w:spacing w:after="100"/>
      </w:pPr>
      <w:r>
        <w:rPr>
          <w:rFonts w:ascii="Calibri" w:cs="Calibri" w:eastAsia="Calibri" w:hAnsi="Calibri"/>
          <w:b w:val="false"/>
          <w:bCs w:val="false"/>
          <w:sz w:val="22"/>
          <w:szCs w:val="22"/>
        </w:rPr>
        <w:t xml:space="preserve">Catalogue densities cannot be independently re-derived by this pipeline, because the scaling step reuses the catalogue diameter. Only bodies with absolutely scaled shape models (spacecraft targets, radar models, occultation-fitted models) allow independent density determination.</w:t>
      </w:r>
    </w:p>
    <w:p>
      <w:pPr>
        <w:pStyle w:val="ListParagraph"/>
        <w:numPr>
          <w:ilvl w:val="0"/>
          <w:numId w:val="2"/>
        </w:numPr>
        <w:spacing w:after="100"/>
      </w:pPr>
      <w:r>
        <w:rPr>
          <w:rFonts w:ascii="Calibri" w:cs="Calibri" w:eastAsia="Calibri" w:hAnsi="Calibri"/>
          <w:b w:val="false"/>
          <w:bCs w:val="false"/>
          <w:sz w:val="22"/>
          <w:szCs w:val="22"/>
        </w:rPr>
        <w:t xml:space="preserve">The shape-uncertainty figure compares sphere/ellipsoid/hull/mesh volumes of the same model; it does not capture uncertainty in the shape model itself (photometric inversion has its own error budget).</w:t>
      </w:r>
    </w:p>
    <w:p>
      <w:pPr>
        <w:pStyle w:val="ListParagraph"/>
        <w:numPr>
          <w:ilvl w:val="0"/>
          <w:numId w:val="2"/>
        </w:numPr>
        <w:spacing w:after="100"/>
      </w:pPr>
      <w:r>
        <w:rPr>
          <w:rFonts w:ascii="Calibri" w:cs="Calibri" w:eastAsia="Calibri" w:hAnsi="Calibri"/>
          <w:b w:val="false"/>
          <w:bCs w:val="false"/>
          <w:sz w:val="22"/>
          <w:szCs w:val="22"/>
        </w:rPr>
        <w:t xml:space="preserve">Porosity results inherit the full uncertainty of the assumed meteorite analogue grain density.</w:t>
      </w:r>
    </w:p>
    <w:p>
      <w:pPr>
        <w:pStyle w:val="ListParagraph"/>
        <w:numPr>
          <w:ilvl w:val="0"/>
          <w:numId w:val="2"/>
        </w:numPr>
        <w:spacing w:after="100"/>
      </w:pPr>
      <w:r>
        <w:rPr>
          <w:rFonts w:ascii="Calibri" w:cs="Calibri" w:eastAsia="Calibri" w:hAnsi="Calibri"/>
          <w:b w:val="false"/>
          <w:bCs w:val="false"/>
          <w:sz w:val="22"/>
          <w:szCs w:val="22"/>
        </w:rPr>
        <w:t xml:space="preserve">The predictions assume the published diameters are roughly correct; if a diameter is also wrong, the predicted range shifts.</w:t>
      </w:r>
    </w:p>
    <w:p>
      <w:pPr>
        <w:pStyle w:val="ListParagraph"/>
        <w:numPr>
          <w:ilvl w:val="0"/>
          <w:numId w:val="2"/>
        </w:numPr>
        <w:spacing w:after="100"/>
      </w:pPr>
      <w:r>
        <w:rPr>
          <w:rFonts w:ascii="Calibri" w:cs="Calibri" w:eastAsia="Calibri" w:hAnsi="Calibri"/>
          <w:b w:val="false"/>
          <w:bCs w:val="false"/>
          <w:sz w:val="22"/>
          <w:szCs w:val="22"/>
        </w:rPr>
        <w:t xml:space="preserve">The COLLAPSE/GENESIS vocabulary is presentation, not mathematics; papers and posts should say so explicitly.</w:t>
      </w:r>
    </w:p>
    <w:p>
      <w:pPr>
        <w:pStyle w:val="Heading1"/>
        <w:spacing w:after="160" w:before="320"/>
      </w:pPr>
      <w:r>
        <w:rPr>
          <w:rFonts w:ascii="Calibri" w:cs="Calibri" w:eastAsia="Calibri" w:hAnsi="Calibri"/>
        </w:rPr>
        <w:t xml:space="preserve">8. Recommended next steps</w:t>
      </w:r>
    </w:p>
    <w:p>
      <w:pPr>
        <w:pStyle w:val="ListParagraph"/>
        <w:numPr>
          <w:ilvl w:val="0"/>
          <w:numId w:val="2"/>
        </w:numPr>
        <w:spacing w:after="100"/>
      </w:pPr>
      <w:r>
        <w:rPr>
          <w:rFonts w:ascii="Calibri" w:cs="Calibri" w:eastAsia="Calibri" w:hAnsi="Calibri"/>
          <w:b w:val="false"/>
          <w:bCs w:val="false"/>
          <w:sz w:val="22"/>
          <w:szCs w:val="22"/>
        </w:rPr>
        <w:t xml:space="preserve">Rewrite the validation record so the spacecraft table is labelled 'validation' and the catalogue table is labelled 'consistency check'. (A rewritten version accompanies this document.)</w:t>
      </w:r>
    </w:p>
    <w:p>
      <w:pPr>
        <w:pStyle w:val="ListParagraph"/>
        <w:numPr>
          <w:ilvl w:val="0"/>
          <w:numId w:val="2"/>
        </w:numPr>
        <w:spacing w:after="100"/>
      </w:pPr>
      <w:r>
        <w:rPr>
          <w:rFonts w:ascii="Calibri" w:cs="Calibri" w:eastAsia="Calibri" w:hAnsi="Calibri"/>
          <w:b w:val="false"/>
          <w:bCs w:val="false"/>
          <w:sz w:val="22"/>
          <w:szCs w:val="22"/>
        </w:rPr>
        <w:t xml:space="preserve">Write the density audit up as a short research note — 2–3 pages — framed as an independent reproduction and systematization of Carry (2012) and Hanuš et al. (2013), with the open code and the predicted mass ranges as the additions. This is the publishable unit.</w:t>
      </w:r>
    </w:p>
    <w:p>
      <w:pPr>
        <w:pStyle w:val="ListParagraph"/>
        <w:numPr>
          <w:ilvl w:val="0"/>
          <w:numId w:val="2"/>
        </w:numPr>
        <w:spacing w:after="100"/>
      </w:pPr>
      <w:r>
        <w:rPr>
          <w:rFonts w:ascii="Calibri" w:cs="Calibri" w:eastAsia="Calibri" w:hAnsi="Calibri"/>
          <w:b w:val="false"/>
          <w:bCs w:val="false"/>
          <w:sz w:val="22"/>
          <w:szCs w:val="22"/>
        </w:rPr>
        <w:t xml:space="preserve">Before submitting, complete the literature check: search recent Gaia DR3/DR4 mass papers and INPOP/EPM ephemeris releases for updated masses of all five flagged bodies. The Circe agreement and the partial Miriam movement are already known; a systematic check protects against claiming an open prediction that has quietly been settled.</w:t>
      </w:r>
    </w:p>
    <w:p>
      <w:pPr>
        <w:pStyle w:val="ListParagraph"/>
        <w:numPr>
          <w:ilvl w:val="0"/>
          <w:numId w:val="2"/>
        </w:numPr>
        <w:spacing w:after="100"/>
      </w:pPr>
      <w:r>
        <w:rPr>
          <w:rFonts w:ascii="Calibri" w:cs="Calibri" w:eastAsia="Calibri" w:hAnsi="Calibri"/>
          <w:b w:val="false"/>
          <w:bCs w:val="false"/>
          <w:sz w:val="22"/>
          <w:szCs w:val="22"/>
        </w:rPr>
        <w:t xml:space="preserve">Extend the audit systematically: for all 428 SiMDA bodies, flag every case where bulk density exceeds the class grain density, and publish the full flagged list with the audit code.</w:t>
      </w:r>
    </w:p>
    <w:p>
      <w:pPr>
        <w:pStyle w:val="ListParagraph"/>
        <w:numPr>
          <w:ilvl w:val="0"/>
          <w:numId w:val="2"/>
        </w:numPr>
        <w:spacing w:after="100"/>
      </w:pPr>
      <w:r>
        <w:rPr>
          <w:rFonts w:ascii="Calibri" w:cs="Calibri" w:eastAsia="Calibri" w:hAnsi="Calibri"/>
          <w:b w:val="false"/>
          <w:bCs w:val="false"/>
          <w:sz w:val="22"/>
          <w:szCs w:val="22"/>
        </w:rPr>
        <w:t xml:space="preserve">Keep the tool public and transparent — the honest, verified, well-documented implementation is what gives the audit credibility.</w:t>
      </w:r>
    </w:p>
    <w:p>
      <w:pPr>
        <w:spacing w:after="160" w:line="276"/>
      </w:pPr>
      <w:r>
        <w:rPr>
          <w:rFonts w:ascii="Calibri" w:cs="Calibri" w:eastAsia="Calibri" w:hAnsi="Calibri"/>
          <w:sz w:val="22"/>
          <w:szCs w:val="22"/>
        </w:rPr>
        <w:t xml:space="preserve"/>
      </w:r>
    </w:p>
    <w:p>
      <w:pPr>
        <w:spacing w:after="160" w:line="276"/>
      </w:pPr>
      <w:r>
        <w:rPr>
          <w:rFonts w:ascii="Calibri" w:cs="Calibri" w:eastAsia="Calibri" w:hAnsi="Calibri"/>
          <w:i/>
          <w:iCs/>
          <w:color w:val="777777"/>
          <w:sz w:val="18"/>
          <w:szCs w:val="18"/>
        </w:rPr>
        <w:t xml:space="preserve">Prepared as a candid technical companion to the BAGH_SIR portfolio. Sources: DAMIT, JAXA DARTS, NASA PDS, ESA Rosetta shape models; SiMDA catalogue (Kretlow 2020); mission density papers (Lauretta et al. 2019, Watanabe et al. 2019, Fujiwara et al. 2006, Pätzold et al. 2016). Prior work on density plausibility: Britt et al. 2002 (Asteroids III, asteroid density, porosity and structure); Carry 2012 (Planet. Space Sci. 73, 98 — density of asteroids, quality ranks); Hanuš et al. 2013 (Icarus — sizes from shape models + Keck AO, mass overestimates for flagged bodies incl. Circe); Fienga et al. 2020 (MNRAS 492, 589 — INPOP asteroid masses, incl. Miriam).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2026-07-18T19:51:43.246Z</dcterms:created>
  <dcterms:modified xsi:type="dcterms:W3CDTF">2026-07-18T19:51:43.269Z</dcterms:modified>
</cp:coreProperties>
</file>

<file path=docProps/custom.xml><?xml version="1.0" encoding="utf-8"?>
<Properties xmlns="http://schemas.openxmlformats.org/officeDocument/2006/custom-properties" xmlns:vt="http://schemas.openxmlformats.org/officeDocument/2006/docPropsVTypes"/>
</file>