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BAGH_SIR — The Mathematics, With Worked Examples and Pictures</w:t>
      </w:r>
    </w:p>
    <w:p>
      <w:pPr>
        <w:spacing w:after="160" w:line="276"/>
      </w:pPr>
      <w:r>
        <w:rPr>
          <w:rFonts w:ascii="Calibri" w:cs="Calibri" w:eastAsia="Calibri" w:hAnsi="Calibri"/>
          <w:i/>
          <w:iCs/>
          <w:color w:val="555555"/>
          <w:sz w:val="22"/>
          <w:szCs w:val="22"/>
        </w:rPr>
        <w:t xml:space="preserve">Every equation in the tool, shown step by step with real numbers and diagrams.</w:t>
      </w:r>
    </w:p>
    <w:p>
      <w:pPr>
        <w:spacing w:after="160" w:line="276"/>
      </w:pPr>
      <w:r>
        <w:rPr>
          <w:rFonts w:ascii="Calibri" w:cs="Calibri" w:eastAsia="Calibri" w:hAnsi="Calibri"/>
          <w:color w:val="555555"/>
          <w:sz w:val="22"/>
          <w:szCs w:val="22"/>
        </w:rPr>
        <w:t xml:space="preserve">Promod Bagh  ·  Independent researcher  ·  Raghunathpur, India</w:t>
      </w:r>
    </w:p>
    <w:p>
      <w:pPr>
        <w:pStyle w:val="Heading1"/>
        <w:spacing w:after="160" w:before="320"/>
      </w:pPr>
      <w:r>
        <w:rPr>
          <w:rFonts w:ascii="Calibri" w:cs="Calibri" w:eastAsia="Calibri" w:hAnsi="Calibri"/>
        </w:rPr>
        <w:t xml:space="preserve">1. Method A — Volume from signed tetrahedra</w:t>
      </w:r>
    </w:p>
    <w:p>
      <w:pPr>
        <w:spacing w:after="160" w:line="276"/>
      </w:pPr>
      <w:r>
        <w:rPr>
          <w:rFonts w:ascii="Calibri" w:cs="Calibri" w:eastAsia="Calibri" w:hAnsi="Calibri"/>
          <w:sz w:val="22"/>
          <w:szCs w:val="22"/>
        </w:rPr>
        <w:t xml:space="preserve">A shape model is a mesh: a list of corner points (vertices) joined into triangles (faces). Take any one triangular face with corners v0, v1, v2. Together with the origin O, it forms a tetrahedron (a 4-cornered pyramid). Its volume is:</w:t>
      </w:r>
    </w:p>
    <w:p>
      <w:pPr>
        <w:shd w:fill="F2F5F8" w:val="clear"/>
        <w:spacing w:after="160" w:before="80"/>
        <w:jc w:val="center"/>
      </w:pPr>
      <w:r>
        <w:rPr>
          <w:rFonts w:ascii="Cambria Math" w:cs="Cambria Math" w:eastAsia="Cambria Math" w:hAnsi="Cambria Math"/>
          <w:b/>
          <w:bCs/>
          <w:color w:val="1F3B57"/>
          <w:sz w:val="26"/>
          <w:szCs w:val="26"/>
        </w:rPr>
        <w:t xml:space="preserve">V(tetra)  =  (1/6) · | v0 · (v1 × v2) |</w:t>
      </w:r>
    </w:p>
    <w:p>
      <w:pPr>
        <w:spacing w:after="160" w:line="276"/>
      </w:pPr>
      <w:r>
        <w:rPr>
          <w:rFonts w:ascii="Calibri" w:cs="Calibri" w:eastAsia="Calibri" w:hAnsi="Calibri"/>
          <w:sz w:val="22"/>
          <w:szCs w:val="22"/>
        </w:rPr>
        <w:t xml:space="preserve">where × is the cross product and · is the dot product. Sum this signed value over every face of a closed mesh, and the parts outside the shape cancel out exactly, leaving the true enclosed volume:</w:t>
      </w:r>
    </w:p>
    <w:p>
      <w:pPr>
        <w:shd w:fill="F2F5F8" w:val="clear"/>
        <w:spacing w:after="160" w:before="80"/>
        <w:jc w:val="center"/>
      </w:pPr>
      <w:r>
        <w:rPr>
          <w:rFonts w:ascii="Cambria Math" w:cs="Cambria Math" w:eastAsia="Cambria Math" w:hAnsi="Cambria Math"/>
          <w:b/>
          <w:bCs/>
          <w:color w:val="1F3B57"/>
          <w:sz w:val="26"/>
          <w:szCs w:val="26"/>
        </w:rPr>
        <w:t xml:space="preserve">V(total)  =  (1/6) · | Σ  v0 · (v1 × v2) |     (sum over all faces)</w:t>
      </w:r>
    </w:p>
    <w:p>
      <w:pPr>
        <w:spacing w:after="60" w:before="120"/>
        <w:jc w:val="center"/>
      </w:pPr>
      <w:r>
        <w:drawing>
          <wp:inline distT="0" distB="0" distL="0" distR="0">
            <wp:extent cx="5905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7622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1 — Left: one face plus the origin makes one tetrahedron. Right: summing over every face of the mesh gives the exact total volume.</w:t>
      </w:r>
    </w:p>
    <w:p>
      <w:pPr>
        <w:pStyle w:val="Heading2"/>
        <w:spacing w:after="120" w:before="220"/>
      </w:pPr>
      <w:r>
        <w:rPr>
          <w:rFonts w:ascii="Calibri" w:cs="Calibri" w:eastAsia="Calibri" w:hAnsi="Calibri"/>
        </w:rPr>
        <w:t xml:space="preserve">Cross and dot product — the two ingredients</w:t>
      </w:r>
    </w:p>
    <w:p>
      <w:pPr>
        <w:spacing w:after="160" w:line="276"/>
      </w:pPr>
      <w:r>
        <w:rPr>
          <w:rFonts w:ascii="Calibri" w:cs="Calibri" w:eastAsia="Calibri" w:hAnsi="Calibri"/>
          <w:sz w:val="22"/>
          <w:szCs w:val="22"/>
        </w:rPr>
        <w:t xml:space="preserve">For vectors a = (a₁, a₂, a₃) and b = (b₁, b₂, b₃):</w:t>
      </w:r>
    </w:p>
    <w:p>
      <w:pPr>
        <w:shd w:fill="F2F5F8" w:val="clear"/>
        <w:spacing w:after="160" w:before="80"/>
        <w:jc w:val="center"/>
      </w:pPr>
      <w:r>
        <w:rPr>
          <w:rFonts w:ascii="Cambria Math" w:cs="Cambria Math" w:eastAsia="Cambria Math" w:hAnsi="Cambria Math"/>
          <w:b/>
          <w:bCs/>
          <w:color w:val="1F3B57"/>
          <w:sz w:val="26"/>
          <w:szCs w:val="26"/>
        </w:rPr>
        <w:t xml:space="preserve">a × b = ( a₂b₃ − a₃b₂,   a₃b₁ − a₁b₃,   a₁b₂ − a₂b₁ )</w:t>
      </w:r>
    </w:p>
    <w:p>
      <w:pPr>
        <w:shd w:fill="F2F5F8" w:val="clear"/>
        <w:spacing w:after="160" w:before="80"/>
        <w:jc w:val="center"/>
      </w:pPr>
      <w:r>
        <w:rPr>
          <w:rFonts w:ascii="Cambria Math" w:cs="Cambria Math" w:eastAsia="Cambria Math" w:hAnsi="Cambria Math"/>
          <w:b/>
          <w:bCs/>
          <w:color w:val="1F3B57"/>
          <w:sz w:val="26"/>
          <w:szCs w:val="26"/>
        </w:rPr>
        <w:t xml:space="preserve">a · b = a₁b₁ + a₂b₂ + a₃b₃</w:t>
      </w:r>
    </w:p>
    <w:p>
      <w:pPr>
        <w:pStyle w:val="Heading2"/>
        <w:spacing w:after="120" w:before="220"/>
      </w:pPr>
      <w:r>
        <w:rPr>
          <w:rFonts w:ascii="Calibri" w:cs="Calibri" w:eastAsia="Calibri" w:hAnsi="Calibri"/>
        </w:rPr>
        <w:t xml:space="preserve">Worked example — one face of a unit cube</w:t>
      </w:r>
    </w:p>
    <w:p>
      <w:pPr>
        <w:spacing w:after="160" w:line="276"/>
      </w:pPr>
      <w:r>
        <w:rPr>
          <w:rFonts w:ascii="Calibri" w:cs="Calibri" w:eastAsia="Calibri" w:hAnsi="Calibri"/>
          <w:sz w:val="22"/>
          <w:szCs w:val="22"/>
        </w:rPr>
        <w:t xml:space="preserve">Take the highlighted face of the unit cube (side 1, true volume exactly 1):</w:t>
      </w:r>
    </w:p>
    <w:p>
      <w:pPr>
        <w:spacing w:after="60"/>
        <w:ind w:left="360"/>
      </w:pPr>
      <w:r>
        <w:rPr>
          <w:rFonts w:ascii="Consolas" w:cs="Consolas" w:eastAsia="Consolas" w:hAnsi="Consolas"/>
          <w:sz w:val="20"/>
          <w:szCs w:val="20"/>
        </w:rPr>
        <w:t xml:space="preserve">v0 = (1, 0, 0)    v1 = (1, 0, 1)    v2 = (1, 1, 1)</w:t>
      </w:r>
    </w:p>
    <w:p>
      <w:pPr>
        <w:spacing w:after="60"/>
        <w:ind w:left="360"/>
      </w:pPr>
      <w:r>
        <w:rPr>
          <w:rFonts w:ascii="Consolas" w:cs="Consolas" w:eastAsia="Consolas" w:hAnsi="Consolas"/>
          <w:sz w:val="20"/>
          <w:szCs w:val="20"/>
        </w:rPr>
        <w:t xml:space="preserve"/>
      </w:r>
    </w:p>
    <w:p>
      <w:pPr>
        <w:spacing w:after="60"/>
        <w:ind w:left="360"/>
      </w:pPr>
      <w:r>
        <w:rPr>
          <w:rFonts w:ascii="Consolas" w:cs="Consolas" w:eastAsia="Consolas" w:hAnsi="Consolas"/>
          <w:sz w:val="20"/>
          <w:szCs w:val="20"/>
        </w:rPr>
        <w:t xml:space="preserve">Step 1  v1 × v2 = (0·1 − 1·1,  1·1 − 1·1,  1·1 − 0·1)</w:t>
      </w:r>
    </w:p>
    <w:p>
      <w:pPr>
        <w:spacing w:after="60"/>
        <w:ind w:left="360"/>
      </w:pPr>
      <w:r>
        <w:rPr>
          <w:rFonts w:ascii="Consolas" w:cs="Consolas" w:eastAsia="Consolas" w:hAnsi="Consolas"/>
          <w:sz w:val="20"/>
          <w:szCs w:val="20"/>
        </w:rPr>
        <w:t xml:space="preserve">                = (−1, 0, 1)</w:t>
      </w:r>
    </w:p>
    <w:p>
      <w:pPr>
        <w:spacing w:after="60"/>
        <w:ind w:left="360"/>
      </w:pPr>
      <w:r>
        <w:rPr>
          <w:rFonts w:ascii="Consolas" w:cs="Consolas" w:eastAsia="Consolas" w:hAnsi="Consolas"/>
          <w:sz w:val="20"/>
          <w:szCs w:val="20"/>
        </w:rPr>
        <w:t xml:space="preserve">Step 2  v0 · (−1, 0, 1) = 1·(−1) + 0·0 + 0·1 = −1</w:t>
      </w:r>
    </w:p>
    <w:p>
      <w:pPr>
        <w:spacing w:after="60"/>
        <w:ind w:left="360"/>
      </w:pPr>
      <w:r>
        <w:rPr>
          <w:rFonts w:ascii="Consolas" w:cs="Consolas" w:eastAsia="Consolas" w:hAnsi="Consolas"/>
          <w:sz w:val="20"/>
          <w:szCs w:val="20"/>
        </w:rPr>
        <w:t xml:space="preserve">Step 3  tetra volume = |−1| / 6 = 1/6</w:t>
      </w:r>
    </w:p>
    <w:p>
      <w:pPr>
        <w:spacing w:after="160" w:line="276"/>
      </w:pPr>
      <w:r>
        <w:rPr>
          <w:rFonts w:ascii="Calibri" w:cs="Calibri" w:eastAsia="Calibri" w:hAnsi="Calibri"/>
          <w:sz w:val="22"/>
          <w:szCs w:val="22"/>
        </w:rPr>
        <w:t xml:space="preserve">Doing the same for all 12 triangles of the cube and summing the signed values gives 6/6 = 1 — the exact cube volume. This is the self-test built into the tool.</w:t>
      </w:r>
    </w:p>
    <w:p>
      <w:pPr>
        <w:spacing w:after="60" w:before="12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575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2 — The worked cube example: one highlighted triangle contributes 1/6; all twelve together give exactly 1.</w:t>
      </w:r>
    </w:p>
    <w:p>
      <w:pPr>
        <w:pStyle w:val="Heading1"/>
        <w:spacing w:after="160" w:before="320"/>
      </w:pPr>
      <w:r>
        <w:rPr>
          <w:rFonts w:ascii="Calibri" w:cs="Calibri" w:eastAsia="Calibri" w:hAnsi="Calibri"/>
        </w:rPr>
        <w:t xml:space="preserve">2. Method B — Volume from prisms (the cross-check)</w:t>
      </w:r>
    </w:p>
    <w:p>
      <w:pPr>
        <w:spacing w:after="160" w:line="276"/>
      </w:pPr>
      <w:r>
        <w:rPr>
          <w:rFonts w:ascii="Calibri" w:cs="Calibri" w:eastAsia="Calibri" w:hAnsi="Calibri"/>
          <w:sz w:val="22"/>
          <w:szCs w:val="22"/>
        </w:rPr>
        <w:t xml:space="preserve">The same volume can be computed a completely different-looking way. Project each face down onto the x-y plane to get its signed footprint area A, and note the face's mean depth z̄ (average of the three corners' z values):</w:t>
      </w:r>
    </w:p>
    <w:p>
      <w:pPr>
        <w:shd w:fill="F2F5F8" w:val="clear"/>
        <w:spacing w:after="160" w:before="80"/>
        <w:jc w:val="center"/>
      </w:pPr>
      <w:r>
        <w:rPr>
          <w:rFonts w:ascii="Cambria Math" w:cs="Cambria Math" w:eastAsia="Cambria Math" w:hAnsi="Cambria Math"/>
          <w:b/>
          <w:bCs/>
          <w:color w:val="1F3B57"/>
          <w:sz w:val="26"/>
          <w:szCs w:val="26"/>
        </w:rPr>
        <w:t xml:space="preserve">A  =  ½ [ (x₁−x₀)(y₂−y₀) − (x₂−x₀)(y₁−y₀) ]</w:t>
      </w:r>
    </w:p>
    <w:p>
      <w:pPr>
        <w:shd w:fill="F2F5F8" w:val="clear"/>
        <w:spacing w:after="160" w:before="80"/>
        <w:jc w:val="center"/>
      </w:pPr>
      <w:r>
        <w:rPr>
          <w:rFonts w:ascii="Cambria Math" w:cs="Cambria Math" w:eastAsia="Cambria Math" w:hAnsi="Cambria Math"/>
          <w:b/>
          <w:bCs/>
          <w:color w:val="1F3B57"/>
          <w:sz w:val="26"/>
          <w:szCs w:val="26"/>
        </w:rPr>
        <w:t xml:space="preserve">z̄  =  (z₀ + z₁ + z₂) / 3</w:t>
      </w:r>
    </w:p>
    <w:p>
      <w:pPr>
        <w:shd w:fill="F2F5F8" w:val="clear"/>
        <w:spacing w:after="160" w:before="80"/>
        <w:jc w:val="center"/>
      </w:pPr>
      <w:r>
        <w:rPr>
          <w:rFonts w:ascii="Cambria Math" w:cs="Cambria Math" w:eastAsia="Cambria Math" w:hAnsi="Cambria Math"/>
          <w:b/>
          <w:bCs/>
          <w:color w:val="1F3B57"/>
          <w:sz w:val="26"/>
          <w:szCs w:val="26"/>
        </w:rPr>
        <w:t xml:space="preserve">V(total)  =  | Σ  A(face) · z̄(face) |</w:t>
      </w:r>
    </w:p>
    <w:p>
      <w:pPr>
        <w:spacing w:after="160" w:line="276"/>
      </w:pPr>
      <w:r>
        <w:rPr>
          <w:rFonts w:ascii="Calibri" w:cs="Calibri" w:eastAsia="Calibri" w:hAnsi="Calibri"/>
          <w:sz w:val="22"/>
          <w:szCs w:val="22"/>
        </w:rPr>
        <w:t xml:space="preserve">Each face contributes a prism of base A and height z̄; the signed sum over a closed mesh again cancels perfectly to the enclosed volume.</w:t>
      </w:r>
    </w:p>
    <w:p>
      <w:pPr>
        <w:spacing w:after="60" w:before="120"/>
        <w:jc w:val="center"/>
      </w:pPr>
      <w:r>
        <w:drawing>
          <wp:inline distT="0" distB="0" distL="0" distR="0">
            <wp:extent cx="5905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622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3 — Left: one face projected to its footprint, forming a prism. Right: the two formulas are independent routes to the same number.</w:t>
      </w:r>
    </w:p>
    <w:p>
      <w:pPr>
        <w:pStyle w:val="Heading2"/>
        <w:spacing w:after="120" w:before="220"/>
      </w:pPr>
      <w:r>
        <w:rPr>
          <w:rFonts w:ascii="Calibri" w:cs="Calibri" w:eastAsia="Calibri" w:hAnsi="Calibri"/>
        </w:rPr>
        <w:t xml:space="preserve">Worked example — same cube face</w:t>
      </w:r>
    </w:p>
    <w:p>
      <w:pPr>
        <w:spacing w:after="60"/>
        <w:ind w:left="360"/>
      </w:pPr>
      <w:r>
        <w:rPr>
          <w:rFonts w:ascii="Consolas" w:cs="Consolas" w:eastAsia="Consolas" w:hAnsi="Consolas"/>
          <w:sz w:val="20"/>
          <w:szCs w:val="20"/>
        </w:rPr>
        <w:t xml:space="preserve">v0=(1,0,0)  v1=(1,0,1)  v2=(1,1,1)</w:t>
      </w:r>
    </w:p>
    <w:p>
      <w:pPr>
        <w:spacing w:after="60"/>
        <w:ind w:left="360"/>
      </w:pPr>
      <w:r>
        <w:rPr>
          <w:rFonts w:ascii="Consolas" w:cs="Consolas" w:eastAsia="Consolas" w:hAnsi="Consolas"/>
          <w:sz w:val="20"/>
          <w:szCs w:val="20"/>
        </w:rPr>
        <w:t xml:space="preserve">A  = ½[(1−1)(1−0) − (1−1)(0−0)] = ½[0 − 0] = 0</w:t>
      </w:r>
    </w:p>
    <w:p>
      <w:pPr>
        <w:spacing w:after="60"/>
        <w:ind w:left="360"/>
      </w:pPr>
      <w:r>
        <w:rPr>
          <w:rFonts w:ascii="Consolas" w:cs="Consolas" w:eastAsia="Consolas" w:hAnsi="Consolas"/>
          <w:sz w:val="20"/>
          <w:szCs w:val="20"/>
        </w:rPr>
        <w:t xml:space="preserve">z̄  = (0+1+1)/3 = 2/3      contribution = 0 × 2/3 = 0</w:t>
      </w:r>
    </w:p>
    <w:p>
      <w:pPr>
        <w:spacing w:after="160" w:line="276"/>
      </w:pPr>
      <w:r>
        <w:rPr>
          <w:rFonts w:ascii="Calibri" w:cs="Calibri" w:eastAsia="Calibri" w:hAnsi="Calibri"/>
          <w:sz w:val="22"/>
          <w:szCs w:val="22"/>
        </w:rPr>
        <w:t xml:space="preserve">This vertical side face contributes zero (its footprint has no area) — correct, because all the cube's volume is delivered by the top and bottom faces in this method. Summed over all 12 faces, Method B also gives exactly 1. On every asteroid tested, Methods A and B agree to machine precision, which proves the mesh was read and oriented correctly.</w:t>
      </w:r>
    </w:p>
    <w:p>
      <w:pPr>
        <w:pStyle w:val="Heading1"/>
        <w:spacing w:after="160" w:before="320"/>
      </w:pPr>
      <w:r>
        <w:rPr>
          <w:rFonts w:ascii="Calibri" w:cs="Calibri" w:eastAsia="Calibri" w:hAnsi="Calibri"/>
        </w:rPr>
        <w:t xml:space="preserve">3. Equivalent diameter and scaling to true size</w:t>
      </w:r>
    </w:p>
    <w:p>
      <w:pPr>
        <w:spacing w:after="160" w:line="276"/>
      </w:pPr>
      <w:r>
        <w:rPr>
          <w:rFonts w:ascii="Calibri" w:cs="Calibri" w:eastAsia="Calibri" w:hAnsi="Calibri"/>
          <w:sz w:val="22"/>
          <w:szCs w:val="22"/>
        </w:rPr>
        <w:t xml:space="preserve">The volume-equivalent diameter is the diameter of the sphere that has the same volume as the shape:</w:t>
      </w:r>
    </w:p>
    <w:p>
      <w:pPr>
        <w:shd w:fill="F2F5F8" w:val="clear"/>
        <w:spacing w:after="160" w:before="80"/>
        <w:jc w:val="center"/>
      </w:pPr>
      <w:r>
        <w:rPr>
          <w:rFonts w:ascii="Cambria Math" w:cs="Cambria Math" w:eastAsia="Cambria Math" w:hAnsi="Cambria Math"/>
          <w:b/>
          <w:bCs/>
          <w:color w:val="1F3B57"/>
          <w:sz w:val="26"/>
          <w:szCs w:val="26"/>
        </w:rPr>
        <w:t xml:space="preserve">D(eq)  =  ( 6V / π )^(1/3)</w:t>
      </w:r>
    </w:p>
    <w:p>
      <w:pPr>
        <w:pStyle w:val="Heading2"/>
        <w:spacing w:after="120" w:before="220"/>
      </w:pPr>
      <w:r>
        <w:rPr>
          <w:rFonts w:ascii="Calibri" w:cs="Calibri" w:eastAsia="Calibri" w:hAnsi="Calibri"/>
        </w:rPr>
        <w:t xml:space="preserve">Worked example</w:t>
      </w:r>
    </w:p>
    <w:p>
      <w:pPr>
        <w:spacing w:after="60"/>
        <w:ind w:left="360"/>
      </w:pPr>
      <w:r>
        <w:rPr>
          <w:rFonts w:ascii="Consolas" w:cs="Consolas" w:eastAsia="Consolas" w:hAnsi="Consolas"/>
          <w:sz w:val="20"/>
          <w:szCs w:val="20"/>
        </w:rPr>
        <w:t xml:space="preserve">V = 853,745 model-units³  (Klymene mesh)</w:t>
      </w:r>
    </w:p>
    <w:p>
      <w:pPr>
        <w:spacing w:after="60"/>
        <w:ind w:left="360"/>
      </w:pPr>
      <w:r>
        <w:rPr>
          <w:rFonts w:ascii="Consolas" w:cs="Consolas" w:eastAsia="Consolas" w:hAnsi="Consolas"/>
          <w:sz w:val="20"/>
          <w:szCs w:val="20"/>
        </w:rPr>
        <w:t xml:space="preserve">D(eq) = (6 × 853745 / 3.14159)^(1/3) = (1,630,690)^(1/3) ≈ 117.7</w:t>
      </w:r>
    </w:p>
    <w:p>
      <w:pPr>
        <w:spacing w:after="160" w:line="276"/>
      </w:pPr>
      <w:r>
        <w:rPr>
          <w:rFonts w:ascii="Calibri" w:cs="Calibri" w:eastAsia="Calibri" w:hAnsi="Calibri"/>
          <w:sz w:val="22"/>
          <w:szCs w:val="22"/>
        </w:rPr>
        <w:t xml:space="preserve">DAMIT models have correct form but arbitrary size, so the mesh is scaled until D(eq) equals the measured diameter. Because volume grows with the cube of size:</w:t>
      </w:r>
    </w:p>
    <w:p>
      <w:pPr>
        <w:shd w:fill="F2F5F8" w:val="clear"/>
        <w:spacing w:after="160" w:before="80"/>
        <w:jc w:val="center"/>
      </w:pPr>
      <w:r>
        <w:rPr>
          <w:rFonts w:ascii="Cambria Math" w:cs="Cambria Math" w:eastAsia="Cambria Math" w:hAnsi="Cambria Math"/>
          <w:b/>
          <w:bCs/>
          <w:color w:val="1F3B57"/>
          <w:sz w:val="26"/>
          <w:szCs w:val="26"/>
        </w:rPr>
        <w:t xml:space="preserve">scale factor s = D(known) / D(model)        V(scaled) = s³ · V(model)</w:t>
      </w:r>
    </w:p>
    <w:p>
      <w:pPr>
        <w:pStyle w:val="Heading2"/>
        <w:spacing w:after="120" w:before="220"/>
      </w:pPr>
      <w:r>
        <w:rPr>
          <w:rFonts w:ascii="Calibri" w:cs="Calibri" w:eastAsia="Calibri" w:hAnsi="Calibri"/>
        </w:rPr>
        <w:t xml:space="preserve">Worked example — Lydia</w:t>
      </w:r>
    </w:p>
    <w:p>
      <w:pPr>
        <w:spacing w:after="60"/>
        <w:ind w:left="360"/>
      </w:pPr>
      <w:r>
        <w:rPr>
          <w:rFonts w:ascii="Consolas" w:cs="Consolas" w:eastAsia="Consolas" w:hAnsi="Consolas"/>
          <w:sz w:val="20"/>
          <w:szCs w:val="20"/>
        </w:rPr>
        <w:t xml:space="preserve">model D(eq) = 95.5      known D = 78.5 km</w:t>
      </w:r>
    </w:p>
    <w:p>
      <w:pPr>
        <w:spacing w:after="60"/>
        <w:ind w:left="360"/>
      </w:pPr>
      <w:r>
        <w:rPr>
          <w:rFonts w:ascii="Consolas" w:cs="Consolas" w:eastAsia="Consolas" w:hAnsi="Consolas"/>
          <w:sz w:val="20"/>
          <w:szCs w:val="20"/>
        </w:rPr>
        <w:t xml:space="preserve">s = 78.5 / 95.5 = 0.822      s³ = 0.555</w:t>
      </w:r>
    </w:p>
    <w:p>
      <w:pPr>
        <w:spacing w:after="60"/>
        <w:ind w:left="360"/>
      </w:pPr>
      <w:r>
        <w:rPr>
          <w:rFonts w:ascii="Consolas" w:cs="Consolas" w:eastAsia="Consolas" w:hAnsi="Consolas"/>
          <w:sz w:val="20"/>
          <w:szCs w:val="20"/>
        </w:rPr>
        <w:t xml:space="preserve">V(scaled) = 0.555 × V(model)   →  D(eq) = 78.5 km  ✓</w:t>
      </w:r>
    </w:p>
    <w:p>
      <w:pPr>
        <w:pStyle w:val="Heading1"/>
        <w:spacing w:after="160" w:before="320"/>
      </w:pPr>
      <w:r>
        <w:rPr>
          <w:rFonts w:ascii="Calibri" w:cs="Calibri" w:eastAsia="Calibri" w:hAnsi="Calibri"/>
        </w:rPr>
        <w:t xml:space="preserve">4. Bulk density</w:t>
      </w:r>
    </w:p>
    <w:p>
      <w:pPr>
        <w:spacing w:after="160" w:line="276"/>
      </w:pPr>
      <w:r>
        <w:rPr>
          <w:rFonts w:ascii="Calibri" w:cs="Calibri" w:eastAsia="Calibri" w:hAnsi="Calibri"/>
          <w:sz w:val="22"/>
          <w:szCs w:val="22"/>
        </w:rPr>
        <w:t xml:space="preserve">With mass M in kilograms and volume V in cubic kilometres:</w:t>
      </w:r>
    </w:p>
    <w:p>
      <w:pPr>
        <w:shd w:fill="F2F5F8" w:val="clear"/>
        <w:spacing w:after="160" w:before="80"/>
        <w:jc w:val="center"/>
      </w:pPr>
      <w:r>
        <w:rPr>
          <w:rFonts w:ascii="Cambria Math" w:cs="Cambria Math" w:eastAsia="Cambria Math" w:hAnsi="Cambria Math"/>
          <w:b/>
          <w:bCs/>
          <w:color w:val="1F3B57"/>
          <w:sz w:val="26"/>
          <w:szCs w:val="26"/>
        </w:rPr>
        <w:t xml:space="preserve">ρ  =  M / ( V × 10¹² )      →  grams per cubic centimetre</w:t>
      </w:r>
    </w:p>
    <w:p>
      <w:pPr>
        <w:spacing w:after="160" w:line="276"/>
      </w:pPr>
      <w:r>
        <w:rPr>
          <w:rFonts w:ascii="Calibri" w:cs="Calibri" w:eastAsia="Calibri" w:hAnsi="Calibri"/>
          <w:sz w:val="22"/>
          <w:szCs w:val="22"/>
        </w:rPr>
        <w:t xml:space="preserve">(The 10¹² converts km³ to the right unit combination: 1 km³ = 10¹⁵ cm³ and 1 kg = 10³ g, so kg/km³ ÷ 10¹² = g/cm³.)</w:t>
      </w:r>
    </w:p>
    <w:p>
      <w:pPr>
        <w:pStyle w:val="Heading2"/>
        <w:spacing w:after="120" w:before="220"/>
      </w:pPr>
      <w:r>
        <w:rPr>
          <w:rFonts w:ascii="Calibri" w:cs="Calibri" w:eastAsia="Calibri" w:hAnsi="Calibri"/>
        </w:rPr>
        <w:t xml:space="preserve">Worked example — Bennu (real mission numbers)</w:t>
      </w:r>
    </w:p>
    <w:p>
      <w:pPr>
        <w:spacing w:after="60"/>
        <w:ind w:left="360"/>
      </w:pPr>
      <w:r>
        <w:rPr>
          <w:rFonts w:ascii="Consolas" w:cs="Consolas" w:eastAsia="Consolas" w:hAnsi="Consolas"/>
          <w:sz w:val="20"/>
          <w:szCs w:val="20"/>
        </w:rPr>
        <w:t xml:space="preserve">M = 7.329 × 10¹⁰ kg      V = 0.0616 km³  (from the OSIRIS-REx mesh)</w:t>
      </w:r>
    </w:p>
    <w:p>
      <w:pPr>
        <w:spacing w:after="60"/>
        <w:ind w:left="360"/>
      </w:pPr>
      <w:r>
        <w:rPr>
          <w:rFonts w:ascii="Consolas" w:cs="Consolas" w:eastAsia="Consolas" w:hAnsi="Consolas"/>
          <w:sz w:val="20"/>
          <w:szCs w:val="20"/>
        </w:rPr>
        <w:t xml:space="preserve">ρ = 7.329×10¹⁰ / (0.0616 × 10¹²)</w:t>
      </w:r>
    </w:p>
    <w:p>
      <w:pPr>
        <w:spacing w:after="60"/>
        <w:ind w:left="360"/>
      </w:pPr>
      <w:r>
        <w:rPr>
          <w:rFonts w:ascii="Consolas" w:cs="Consolas" w:eastAsia="Consolas" w:hAnsi="Consolas"/>
          <w:sz w:val="20"/>
          <w:szCs w:val="20"/>
        </w:rPr>
        <w:t xml:space="preserve">  = 7.329×10¹⁰ / 6.16×10¹⁰  =  1.190 g/cm³   ✓ (published: 1.190)</w:t>
      </w:r>
    </w:p>
    <w:p>
      <w:pPr>
        <w:spacing w:after="160" w:line="276"/>
      </w:pPr>
      <w:r>
        <w:rPr>
          <w:rFonts w:ascii="Calibri" w:cs="Calibri" w:eastAsia="Calibri" w:hAnsi="Calibri"/>
          <w:sz w:val="22"/>
          <w:szCs w:val="22"/>
        </w:rPr>
        <w:t xml:space="preserve">This match is meaningful because the Bennu mesh is in true kilometres — no size fitting was involved. The density came purely from the geometry and the measured mass.</w:t>
      </w:r>
    </w:p>
    <w:p>
      <w:pPr>
        <w:pStyle w:val="Heading1"/>
        <w:spacing w:after="160" w:before="320"/>
      </w:pPr>
      <w:r>
        <w:rPr>
          <w:rFonts w:ascii="Calibri" w:cs="Calibri" w:eastAsia="Calibri" w:hAnsi="Calibri"/>
        </w:rPr>
        <w:t xml:space="preserve">5. Macroporosity — how hollow is the inside?</w:t>
      </w:r>
    </w:p>
    <w:p>
      <w:pPr>
        <w:spacing w:after="160" w:line="276"/>
      </w:pPr>
      <w:r>
        <w:rPr>
          <w:rFonts w:ascii="Calibri" w:cs="Calibri" w:eastAsia="Calibri" w:hAnsi="Calibri"/>
          <w:sz w:val="22"/>
          <w:szCs w:val="22"/>
        </w:rPr>
        <w:t xml:space="preserve">Grain density ρ(grain) is the density of the solid rock itself, known from meteorites of the same type. If the bulk density is lower, the difference must be empty space:</w:t>
      </w:r>
    </w:p>
    <w:p>
      <w:pPr>
        <w:shd w:fill="F2F5F8" w:val="clear"/>
        <w:spacing w:after="160" w:before="80"/>
        <w:jc w:val="center"/>
      </w:pPr>
      <w:r>
        <w:rPr>
          <w:rFonts w:ascii="Cambria Math" w:cs="Cambria Math" w:eastAsia="Cambria Math" w:hAnsi="Cambria Math"/>
          <w:b/>
          <w:bCs/>
          <w:color w:val="1F3B57"/>
          <w:sz w:val="26"/>
          <w:szCs w:val="26"/>
        </w:rPr>
        <w:t xml:space="preserve">P  =  1 − ρ(bulk) / ρ(grain)</w:t>
      </w:r>
    </w:p>
    <w:p>
      <w:pPr>
        <w:pStyle w:val="Heading2"/>
        <w:spacing w:after="120" w:before="220"/>
      </w:pPr>
      <w:r>
        <w:rPr>
          <w:rFonts w:ascii="Calibri" w:cs="Calibri" w:eastAsia="Calibri" w:hAnsi="Calibri"/>
        </w:rPr>
        <w:t xml:space="preserve">Worked example — Bennu</w:t>
      </w:r>
    </w:p>
    <w:p>
      <w:pPr>
        <w:spacing w:after="60"/>
        <w:ind w:left="360"/>
      </w:pPr>
      <w:r>
        <w:rPr>
          <w:rFonts w:ascii="Consolas" w:cs="Consolas" w:eastAsia="Consolas" w:hAnsi="Consolas"/>
          <w:sz w:val="20"/>
          <w:szCs w:val="20"/>
        </w:rPr>
        <w:t xml:space="preserve">ρ(bulk) = 1.190      ρ(grain) ≈ 2.4  (carbonaceous / CM meteorite)</w:t>
      </w:r>
    </w:p>
    <w:p>
      <w:pPr>
        <w:spacing w:after="60"/>
        <w:ind w:left="360"/>
      </w:pPr>
      <w:r>
        <w:rPr>
          <w:rFonts w:ascii="Consolas" w:cs="Consolas" w:eastAsia="Consolas" w:hAnsi="Consolas"/>
          <w:sz w:val="20"/>
          <w:szCs w:val="20"/>
        </w:rPr>
        <w:t xml:space="preserve">P = 1 − 1.190/2.4 = 1 − 0.496 = 0.504  →  ≈ 50% empty space</w:t>
      </w:r>
    </w:p>
    <w:p>
      <w:pPr>
        <w:spacing w:after="160" w:line="276"/>
      </w:pPr>
      <w:r>
        <w:rPr>
          <w:rFonts w:ascii="Calibri" w:cs="Calibri" w:eastAsia="Calibri" w:hAnsi="Calibri"/>
          <w:sz w:val="22"/>
          <w:szCs w:val="22"/>
        </w:rPr>
        <w:t xml:space="preserve">Half of Bennu's interior is void — it is a rubble pile of loosely packed boulders, exactly what OSIRIS-REx found when it touched the surface.</w:t>
      </w:r>
    </w:p>
    <w:p>
      <w:pPr>
        <w:spacing w:after="60" w:before="120"/>
        <w:jc w:val="center"/>
      </w:pPr>
      <w:r>
        <w:drawing>
          <wp:inline distT="0" distB="0" distL="0" distR="0">
            <wp:extent cx="5905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622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4 — Left: the full pipeline from mass and shape to density and porosity. Right: what ~50% porosity physically means.</w:t>
      </w:r>
    </w:p>
    <w:p>
      <w:pPr>
        <w:pStyle w:val="Heading1"/>
        <w:spacing w:after="160" w:before="320"/>
      </w:pPr>
      <w:r>
        <w:rPr>
          <w:rFonts w:ascii="Calibri" w:cs="Calibri" w:eastAsia="Calibri" w:hAnsi="Calibri"/>
        </w:rPr>
        <w:t xml:space="preserve">6. Shape uncertainty — why the real mesh matters</w:t>
      </w:r>
    </w:p>
    <w:p>
      <w:pPr>
        <w:spacing w:after="160" w:line="276"/>
      </w:pPr>
      <w:r>
        <w:rPr>
          <w:rFonts w:ascii="Calibri" w:cs="Calibri" w:eastAsia="Calibri" w:hAnsi="Calibri"/>
          <w:sz w:val="22"/>
          <w:szCs w:val="22"/>
        </w:rPr>
        <w:t xml:space="preserve">For the same body, compute four volumes: a sphere fitted to the bounding box, a best-fit ellipsoid, the convex hull, and the real mesh. The spread measures how badly a round-shape assumption would do:</w:t>
      </w:r>
    </w:p>
    <w:p>
      <w:pPr>
        <w:shd w:fill="F2F5F8" w:val="clear"/>
        <w:spacing w:after="160" w:before="80"/>
        <w:jc w:val="center"/>
      </w:pPr>
      <w:r>
        <w:rPr>
          <w:rFonts w:ascii="Cambria Math" w:cs="Cambria Math" w:eastAsia="Cambria Math" w:hAnsi="Cambria Math"/>
          <w:b/>
          <w:bCs/>
          <w:color w:val="1F3B57"/>
          <w:sz w:val="26"/>
          <w:szCs w:val="26"/>
        </w:rPr>
        <w:t xml:space="preserve">U  =  ( V(max) − V(min) ) / V(mesh)  ×  100%</w:t>
      </w:r>
    </w:p>
    <w:p>
      <w:pPr>
        <w:pStyle w:val="Heading2"/>
        <w:spacing w:after="120" w:before="220"/>
      </w:pPr>
      <w:r>
        <w:rPr>
          <w:rFonts w:ascii="Calibri" w:cs="Calibri" w:eastAsia="Calibri" w:hAnsi="Calibri"/>
        </w:rPr>
        <w:t xml:space="preserve">Worked example — Thetis</w:t>
      </w:r>
    </w:p>
    <w:p>
      <w:pPr>
        <w:spacing w:after="60"/>
        <w:ind w:left="360"/>
      </w:pPr>
      <w:r>
        <w:rPr>
          <w:rFonts w:ascii="Consolas" w:cs="Consolas" w:eastAsia="Consolas" w:hAnsi="Consolas"/>
          <w:sz w:val="20"/>
          <w:szCs w:val="20"/>
        </w:rPr>
        <w:t xml:space="preserve">V(sphere)=456,300   V(ellipsoid)=477,900   V(hull)=367,878   V(mesh)=367,878</w:t>
      </w:r>
    </w:p>
    <w:p>
      <w:pPr>
        <w:spacing w:after="60"/>
        <w:ind w:left="360"/>
      </w:pPr>
      <w:r>
        <w:rPr>
          <w:rFonts w:ascii="Consolas" w:cs="Consolas" w:eastAsia="Consolas" w:hAnsi="Consolas"/>
          <w:sz w:val="20"/>
          <w:szCs w:val="20"/>
        </w:rPr>
        <w:t xml:space="preserve">U = (477,900 − 367,878) / 367,878 × 100 = 29.9%</w:t>
      </w:r>
    </w:p>
    <w:p>
      <w:pPr>
        <w:spacing w:after="160" w:line="276"/>
      </w:pPr>
      <w:r>
        <w:rPr>
          <w:rFonts w:ascii="Calibri" w:cs="Calibri" w:eastAsia="Calibri" w:hAnsi="Calibri"/>
          <w:sz w:val="22"/>
          <w:szCs w:val="22"/>
        </w:rPr>
        <w:t xml:space="preserve">A round-shape assumption would overestimate Thetis's volume by up to 30% — and therefore underestimate its density by the same factor. For the most irregular bodies the error reaches 56% (comet 67P).</w:t>
      </w:r>
    </w:p>
    <w:p>
      <w:pPr>
        <w:spacing w:after="60" w:before="120"/>
        <w:jc w:val="center"/>
      </w:pPr>
      <w:r>
        <w:drawing>
          <wp:inline distT="0" distB="0" distL="0" distR="0">
            <wp:extent cx="5905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6193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5 — Left: sphere and ellipsoid guesses drawn over a real irregular outline. Right: measured shape uncertainty for the four mission targets.</w:t>
      </w:r>
    </w:p>
    <w:p>
      <w:pPr>
        <w:pStyle w:val="Heading1"/>
        <w:spacing w:after="160" w:before="320"/>
      </w:pPr>
      <w:r>
        <w:rPr>
          <w:rFonts w:ascii="Calibri" w:cs="Calibri" w:eastAsia="Calibri" w:hAnsi="Calibri"/>
        </w:rPr>
        <w:t xml:space="preserve">7. The plausibility test — the audit inequality</w:t>
      </w:r>
    </w:p>
    <w:p>
      <w:pPr>
        <w:spacing w:after="160" w:line="276"/>
      </w:pPr>
      <w:r>
        <w:rPr>
          <w:rFonts w:ascii="Calibri" w:cs="Calibri" w:eastAsia="Calibri" w:hAnsi="Calibri"/>
          <w:sz w:val="22"/>
          <w:szCs w:val="22"/>
        </w:rPr>
        <w:t xml:space="preserve">Porosity can only remove material, never add it. Therefore, for every real object:</w:t>
      </w:r>
    </w:p>
    <w:p>
      <w:pPr>
        <w:shd w:fill="F2F5F8" w:val="clear"/>
        <w:spacing w:after="160" w:before="80"/>
        <w:jc w:val="center"/>
      </w:pPr>
      <w:r>
        <w:rPr>
          <w:rFonts w:ascii="Cambria Math" w:cs="Cambria Math" w:eastAsia="Cambria Math" w:hAnsi="Cambria Math"/>
          <w:b/>
          <w:bCs/>
          <w:color w:val="1F3B57"/>
          <w:sz w:val="26"/>
          <w:szCs w:val="26"/>
        </w:rPr>
        <w:t xml:space="preserve">ρ(bulk)  ≤  ρ(grain)      — always, with no exceptions</w:t>
      </w:r>
    </w:p>
    <w:p>
      <w:pPr>
        <w:spacing w:after="160" w:line="276"/>
      </w:pPr>
      <w:r>
        <w:rPr>
          <w:rFonts w:ascii="Calibri" w:cs="Calibri" w:eastAsia="Calibri" w:hAnsi="Calibri"/>
          <w:sz w:val="22"/>
          <w:szCs w:val="22"/>
        </w:rPr>
        <w:t xml:space="preserve">Any catalogue entry that violates this inequality is physically impossible and must contain a measurement error. For carbonaceous (C, P class) asteroids, ρ(grain) ≈ 2.2–2.9 g/cm³.</w:t>
      </w:r>
    </w:p>
    <w:p>
      <w:pPr>
        <w:pStyle w:val="Heading2"/>
        <w:spacing w:after="120" w:before="220"/>
      </w:pPr>
      <w:r>
        <w:rPr>
          <w:rFonts w:ascii="Calibri" w:cs="Calibri" w:eastAsia="Calibri" w:hAnsi="Calibri"/>
        </w:rPr>
        <w:t xml:space="preserve">Worked example — (206) Hersilia</w:t>
      </w:r>
    </w:p>
    <w:p>
      <w:pPr>
        <w:spacing w:after="60"/>
        <w:ind w:left="360"/>
      </w:pPr>
      <w:r>
        <w:rPr>
          <w:rFonts w:ascii="Consolas" w:cs="Consolas" w:eastAsia="Consolas" w:hAnsi="Consolas"/>
          <w:sz w:val="20"/>
          <w:szCs w:val="20"/>
        </w:rPr>
        <w:t xml:space="preserve">published ρ = 6.08 g/cm³      class = C  →  ρ(grain) ≈ 2.9 max</w:t>
      </w:r>
    </w:p>
    <w:p>
      <w:pPr>
        <w:spacing w:after="60"/>
        <w:ind w:left="360"/>
      </w:pPr>
      <w:r>
        <w:rPr>
          <w:rFonts w:ascii="Consolas" w:cs="Consolas" w:eastAsia="Consolas" w:hAnsi="Consolas"/>
          <w:sz w:val="20"/>
          <w:szCs w:val="20"/>
        </w:rPr>
        <w:t xml:space="preserve">6.08 &gt; 2.9   →  IMPOSSIBLE as published</w:t>
      </w:r>
    </w:p>
    <w:p>
      <w:pPr>
        <w:spacing w:after="60"/>
        <w:ind w:left="360"/>
      </w:pPr>
      <w:r>
        <w:rPr>
          <w:rFonts w:ascii="Consolas" w:cs="Consolas" w:eastAsia="Consolas" w:hAnsi="Consolas"/>
          <w:sz w:val="20"/>
          <w:szCs w:val="20"/>
        </w:rPr>
        <w:t xml:space="preserve">diameter is well measured  →  the MASS must be too high</w:t>
      </w:r>
    </w:p>
    <w:p>
      <w:pPr>
        <w:spacing w:after="60"/>
        <w:ind w:left="360"/>
      </w:pPr>
      <w:r>
        <w:rPr>
          <w:rFonts w:ascii="Consolas" w:cs="Consolas" w:eastAsia="Consolas" w:hAnsi="Consolas"/>
          <w:sz w:val="20"/>
          <w:szCs w:val="20"/>
        </w:rPr>
        <w:t xml:space="preserve">required correction: mass ÷ ~3.9  →  ρ ≈ 1.3–1.7  (normal C-type)</w:t>
      </w:r>
    </w:p>
    <w:p>
      <w:pPr>
        <w:spacing w:after="160" w:line="276"/>
      </w:pPr>
      <w:r>
        <w:rPr>
          <w:rFonts w:ascii="Calibri" w:cs="Calibri" w:eastAsia="Calibri" w:hAnsi="Calibri"/>
          <w:sz w:val="22"/>
          <w:szCs w:val="22"/>
        </w:rPr>
        <w:t xml:space="preserve">The same test flags Chloris, Circe and Miriam. Each flag becomes a falsifiable prediction: a future mass redetermination (e.g. from Gaia astrometry) should land in the predicted green range below.</w:t>
      </w:r>
    </w:p>
    <w:p>
      <w:pPr>
        <w:spacing w:after="160" w:line="276"/>
      </w:pPr>
      <w:r>
        <w:rPr>
          <w:rFonts w:ascii="Calibri" w:cs="Calibri" w:eastAsia="Calibri" w:hAnsi="Calibri"/>
          <w:i/>
          <w:iCs/>
          <w:color w:val="555555"/>
          <w:sz w:val="22"/>
          <w:szCs w:val="22"/>
        </w:rPr>
        <w:t xml:space="preserve">Note on prior work: this inequality test is the standard framework of the field (Britt et al. 2002; Carry 2012), and the Circe mass overestimate (~2×) was already identified by Hanuš et al. (2013) — in agreement with this audit's independent result. The audit's contribution is the systematic, reproducible application to the current SiMDA catalogue with explicit predicted ranges.</w:t>
      </w:r>
    </w:p>
    <w:p>
      <w:pPr>
        <w:spacing w:after="60" w:before="120"/>
        <w:jc w:val="center"/>
      </w:pPr>
      <w:r>
        <w:drawing>
          <wp:inline distT="0" distB="0" distL="0" distR="0">
            <wp:extent cx="5905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622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6 — Published densities (red bars) versus the solid-rock ceiling (orange band) and the BAGH_SIR predicted ranges (green). The red bars physically cannot be correct.</w:t>
      </w:r>
    </w:p>
    <w:p>
      <w:pPr>
        <w:pStyle w:val="Heading1"/>
        <w:spacing w:after="160" w:before="320"/>
      </w:pPr>
      <w:r>
        <w:rPr>
          <w:rFonts w:ascii="Calibri" w:cs="Calibri" w:eastAsia="Calibri" w:hAnsi="Calibri"/>
        </w:rPr>
        <w:t xml:space="preserve">8. All equations on one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Quantity</w:t>
            </w:r>
          </w:p>
        </w:tc>
        <w:tc>
          <w:tcPr>
            <w:tcW w:type="dxa" w:w="42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Formula</w:t>
            </w:r>
          </w:p>
        </w:tc>
        <w:tc>
          <w:tcPr>
            <w:tcW w:type="dxa" w:w="216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Units</w:t>
            </w:r>
          </w:p>
        </w:tc>
      </w:tr>
      <w:tr>
        <w:tc>
          <w:tcPr>
            <w:tcW w:type="dxa" w:w="3000"/>
            <w:tcMar>
              <w:top w:type="dxa" w:w="80"/>
              <w:left w:type="dxa" w:w="120"/>
              <w:bottom w:type="dxa" w:w="80"/>
              <w:right w:type="dxa" w:w="120"/>
            </w:tcMar>
          </w:tcPr>
          <w:p>
            <w:r>
              <w:rPr>
                <w:rFonts w:ascii="Calibri" w:cs="Calibri" w:eastAsia="Calibri" w:hAnsi="Calibri"/>
                <w:sz w:val="20"/>
                <w:szCs w:val="20"/>
              </w:rPr>
              <w:t xml:space="preserve">Tetra volume (Method A)</w:t>
            </w:r>
          </w:p>
        </w:tc>
        <w:tc>
          <w:tcPr>
            <w:tcW w:type="dxa" w:w="4200"/>
            <w:tcMar>
              <w:top w:type="dxa" w:w="80"/>
              <w:left w:type="dxa" w:w="120"/>
              <w:bottom w:type="dxa" w:w="80"/>
              <w:right w:type="dxa" w:w="120"/>
            </w:tcMar>
          </w:tcPr>
          <w:p>
            <w:r>
              <w:rPr>
                <w:rFonts w:ascii="Cambria Math" w:cs="Cambria Math" w:eastAsia="Cambria Math" w:hAnsi="Cambria Math"/>
                <w:sz w:val="20"/>
                <w:szCs w:val="20"/>
              </w:rPr>
              <w:t xml:space="preserve">V = (1/6)|Σ v0 · (v1 × v2)|</w:t>
            </w:r>
          </w:p>
        </w:tc>
        <w:tc>
          <w:tcPr>
            <w:tcW w:type="dxa" w:w="2160"/>
            <w:tcMar>
              <w:top w:type="dxa" w:w="80"/>
              <w:left w:type="dxa" w:w="120"/>
              <w:bottom w:type="dxa" w:w="80"/>
              <w:right w:type="dxa" w:w="120"/>
            </w:tcMar>
          </w:tcPr>
          <w:p>
            <w:r>
              <w:rPr>
                <w:rFonts w:ascii="Calibri" w:cs="Calibri" w:eastAsia="Calibri" w:hAnsi="Calibri"/>
                <w:sz w:val="20"/>
                <w:szCs w:val="20"/>
              </w:rPr>
              <w:t xml:space="preserve">model units³</w:t>
            </w:r>
          </w:p>
        </w:tc>
      </w:tr>
      <w:tr>
        <w:tc>
          <w:tcPr>
            <w:tcW w:type="dxa" w:w="3000"/>
            <w:tcMar>
              <w:top w:type="dxa" w:w="80"/>
              <w:left w:type="dxa" w:w="120"/>
              <w:bottom w:type="dxa" w:w="80"/>
              <w:right w:type="dxa" w:w="120"/>
            </w:tcMar>
          </w:tcPr>
          <w:p>
            <w:r>
              <w:rPr>
                <w:rFonts w:ascii="Calibri" w:cs="Calibri" w:eastAsia="Calibri" w:hAnsi="Calibri"/>
                <w:sz w:val="20"/>
                <w:szCs w:val="20"/>
              </w:rPr>
              <w:t xml:space="preserve">Prism volume (Method B)</w:t>
            </w:r>
          </w:p>
        </w:tc>
        <w:tc>
          <w:tcPr>
            <w:tcW w:type="dxa" w:w="4200"/>
            <w:tcMar>
              <w:top w:type="dxa" w:w="80"/>
              <w:left w:type="dxa" w:w="120"/>
              <w:bottom w:type="dxa" w:w="80"/>
              <w:right w:type="dxa" w:w="120"/>
            </w:tcMar>
          </w:tcPr>
          <w:p>
            <w:r>
              <w:rPr>
                <w:rFonts w:ascii="Cambria Math" w:cs="Cambria Math" w:eastAsia="Cambria Math" w:hAnsi="Cambria Math"/>
                <w:sz w:val="20"/>
                <w:szCs w:val="20"/>
              </w:rPr>
              <w:t xml:space="preserve">V = |Σ A(face) · z̄(face)|</w:t>
            </w:r>
          </w:p>
        </w:tc>
        <w:tc>
          <w:tcPr>
            <w:tcW w:type="dxa" w:w="2160"/>
            <w:tcMar>
              <w:top w:type="dxa" w:w="80"/>
              <w:left w:type="dxa" w:w="120"/>
              <w:bottom w:type="dxa" w:w="80"/>
              <w:right w:type="dxa" w:w="120"/>
            </w:tcMar>
          </w:tcPr>
          <w:p>
            <w:r>
              <w:rPr>
                <w:rFonts w:ascii="Calibri" w:cs="Calibri" w:eastAsia="Calibri" w:hAnsi="Calibri"/>
                <w:sz w:val="20"/>
                <w:szCs w:val="20"/>
              </w:rPr>
              <w:t xml:space="preserve">model units³</w:t>
            </w:r>
          </w:p>
        </w:tc>
      </w:tr>
      <w:tr>
        <w:tc>
          <w:tcPr>
            <w:tcW w:type="dxa" w:w="3000"/>
            <w:tcMar>
              <w:top w:type="dxa" w:w="80"/>
              <w:left w:type="dxa" w:w="120"/>
              <w:bottom w:type="dxa" w:w="80"/>
              <w:right w:type="dxa" w:w="120"/>
            </w:tcMar>
          </w:tcPr>
          <w:p>
            <w:r>
              <w:rPr>
                <w:rFonts w:ascii="Calibri" w:cs="Calibri" w:eastAsia="Calibri" w:hAnsi="Calibri"/>
                <w:sz w:val="20"/>
                <w:szCs w:val="20"/>
              </w:rPr>
              <w:t xml:space="preserve">Equivalent diameter</w:t>
            </w:r>
          </w:p>
        </w:tc>
        <w:tc>
          <w:tcPr>
            <w:tcW w:type="dxa" w:w="4200"/>
            <w:tcMar>
              <w:top w:type="dxa" w:w="80"/>
              <w:left w:type="dxa" w:w="120"/>
              <w:bottom w:type="dxa" w:w="80"/>
              <w:right w:type="dxa" w:w="120"/>
            </w:tcMar>
          </w:tcPr>
          <w:p>
            <w:r>
              <w:rPr>
                <w:rFonts w:ascii="Cambria Math" w:cs="Cambria Math" w:eastAsia="Cambria Math" w:hAnsi="Cambria Math"/>
                <w:sz w:val="20"/>
                <w:szCs w:val="20"/>
              </w:rPr>
              <w:t xml:space="preserve">D = (6V/π)^(1/3)</w:t>
            </w:r>
          </w:p>
        </w:tc>
        <w:tc>
          <w:tcPr>
            <w:tcW w:type="dxa" w:w="2160"/>
            <w:tcMar>
              <w:top w:type="dxa" w:w="80"/>
              <w:left w:type="dxa" w:w="120"/>
              <w:bottom w:type="dxa" w:w="80"/>
              <w:right w:type="dxa" w:w="120"/>
            </w:tcMar>
          </w:tcPr>
          <w:p>
            <w:r>
              <w:rPr>
                <w:rFonts w:ascii="Calibri" w:cs="Calibri" w:eastAsia="Calibri" w:hAnsi="Calibri"/>
                <w:sz w:val="20"/>
                <w:szCs w:val="20"/>
              </w:rPr>
              <w:t xml:space="preserve">km</w:t>
            </w:r>
          </w:p>
        </w:tc>
      </w:tr>
      <w:tr>
        <w:tc>
          <w:tcPr>
            <w:tcW w:type="dxa" w:w="3000"/>
            <w:tcMar>
              <w:top w:type="dxa" w:w="80"/>
              <w:left w:type="dxa" w:w="120"/>
              <w:bottom w:type="dxa" w:w="80"/>
              <w:right w:type="dxa" w:w="120"/>
            </w:tcMar>
          </w:tcPr>
          <w:p>
            <w:r>
              <w:rPr>
                <w:rFonts w:ascii="Calibri" w:cs="Calibri" w:eastAsia="Calibri" w:hAnsi="Calibri"/>
                <w:sz w:val="20"/>
                <w:szCs w:val="20"/>
              </w:rPr>
              <w:t xml:space="preserve">Scale to known size</w:t>
            </w:r>
          </w:p>
        </w:tc>
        <w:tc>
          <w:tcPr>
            <w:tcW w:type="dxa" w:w="4200"/>
            <w:tcMar>
              <w:top w:type="dxa" w:w="80"/>
              <w:left w:type="dxa" w:w="120"/>
              <w:bottom w:type="dxa" w:w="80"/>
              <w:right w:type="dxa" w:w="120"/>
            </w:tcMar>
          </w:tcPr>
          <w:p>
            <w:r>
              <w:rPr>
                <w:rFonts w:ascii="Cambria Math" w:cs="Cambria Math" w:eastAsia="Cambria Math" w:hAnsi="Cambria Math"/>
                <w:sz w:val="20"/>
                <w:szCs w:val="20"/>
              </w:rPr>
              <w:t xml:space="preserve">s = D(known)/D(model);  V → s³V</w:t>
            </w:r>
          </w:p>
        </w:tc>
        <w:tc>
          <w:tcPr>
            <w:tcW w:type="dxa" w:w="2160"/>
            <w:tcMar>
              <w:top w:type="dxa" w:w="80"/>
              <w:left w:type="dxa" w:w="120"/>
              <w:bottom w:type="dxa" w:w="80"/>
              <w:right w:type="dxa" w:w="120"/>
            </w:tcMar>
          </w:tcPr>
          <w:p>
            <w:r>
              <w:rPr>
                <w:rFonts w:ascii="Calibri" w:cs="Calibri" w:eastAsia="Calibri" w:hAnsi="Calibri"/>
                <w:sz w:val="20"/>
                <w:szCs w:val="20"/>
              </w:rPr>
              <w:t xml:space="preserve">—</w:t>
            </w:r>
          </w:p>
        </w:tc>
      </w:tr>
      <w:tr>
        <w:tc>
          <w:tcPr>
            <w:tcW w:type="dxa" w:w="3000"/>
            <w:tcMar>
              <w:top w:type="dxa" w:w="80"/>
              <w:left w:type="dxa" w:w="120"/>
              <w:bottom w:type="dxa" w:w="80"/>
              <w:right w:type="dxa" w:w="120"/>
            </w:tcMar>
          </w:tcPr>
          <w:p>
            <w:r>
              <w:rPr>
                <w:rFonts w:ascii="Calibri" w:cs="Calibri" w:eastAsia="Calibri" w:hAnsi="Calibri"/>
                <w:sz w:val="20"/>
                <w:szCs w:val="20"/>
              </w:rPr>
              <w:t xml:space="preserve">Bulk density</w:t>
            </w:r>
          </w:p>
        </w:tc>
        <w:tc>
          <w:tcPr>
            <w:tcW w:type="dxa" w:w="4200"/>
            <w:tcMar>
              <w:top w:type="dxa" w:w="80"/>
              <w:left w:type="dxa" w:w="120"/>
              <w:bottom w:type="dxa" w:w="80"/>
              <w:right w:type="dxa" w:w="120"/>
            </w:tcMar>
          </w:tcPr>
          <w:p>
            <w:r>
              <w:rPr>
                <w:rFonts w:ascii="Cambria Math" w:cs="Cambria Math" w:eastAsia="Cambria Math" w:hAnsi="Cambria Math"/>
                <w:sz w:val="20"/>
                <w:szCs w:val="20"/>
              </w:rPr>
              <w:t xml:space="preserve">ρ = M / (V × 10¹²)</w:t>
            </w:r>
          </w:p>
        </w:tc>
        <w:tc>
          <w:tcPr>
            <w:tcW w:type="dxa" w:w="2160"/>
            <w:tcMar>
              <w:top w:type="dxa" w:w="80"/>
              <w:left w:type="dxa" w:w="120"/>
              <w:bottom w:type="dxa" w:w="80"/>
              <w:right w:type="dxa" w:w="120"/>
            </w:tcMar>
          </w:tcPr>
          <w:p>
            <w:r>
              <w:rPr>
                <w:rFonts w:ascii="Calibri" w:cs="Calibri" w:eastAsia="Calibri" w:hAnsi="Calibri"/>
                <w:sz w:val="20"/>
                <w:szCs w:val="20"/>
              </w:rPr>
              <w:t xml:space="preserve">g/cm³</w:t>
            </w:r>
          </w:p>
        </w:tc>
      </w:tr>
      <w:tr>
        <w:tc>
          <w:tcPr>
            <w:tcW w:type="dxa" w:w="3000"/>
            <w:tcMar>
              <w:top w:type="dxa" w:w="80"/>
              <w:left w:type="dxa" w:w="120"/>
              <w:bottom w:type="dxa" w:w="80"/>
              <w:right w:type="dxa" w:w="120"/>
            </w:tcMar>
          </w:tcPr>
          <w:p>
            <w:r>
              <w:rPr>
                <w:rFonts w:ascii="Calibri" w:cs="Calibri" w:eastAsia="Calibri" w:hAnsi="Calibri"/>
                <w:sz w:val="20"/>
                <w:szCs w:val="20"/>
              </w:rPr>
              <w:t xml:space="preserve">Macroporosity</w:t>
            </w:r>
          </w:p>
        </w:tc>
        <w:tc>
          <w:tcPr>
            <w:tcW w:type="dxa" w:w="4200"/>
            <w:tcMar>
              <w:top w:type="dxa" w:w="80"/>
              <w:left w:type="dxa" w:w="120"/>
              <w:bottom w:type="dxa" w:w="80"/>
              <w:right w:type="dxa" w:w="120"/>
            </w:tcMar>
          </w:tcPr>
          <w:p>
            <w:r>
              <w:rPr>
                <w:rFonts w:ascii="Cambria Math" w:cs="Cambria Math" w:eastAsia="Cambria Math" w:hAnsi="Cambria Math"/>
                <w:sz w:val="20"/>
                <w:szCs w:val="20"/>
              </w:rPr>
              <w:t xml:space="preserve">P = 1 − ρ(bulk)/ρ(grain)</w:t>
            </w:r>
          </w:p>
        </w:tc>
        <w:tc>
          <w:tcPr>
            <w:tcW w:type="dxa" w:w="2160"/>
            <w:tcMar>
              <w:top w:type="dxa" w:w="80"/>
              <w:left w:type="dxa" w:w="120"/>
              <w:bottom w:type="dxa" w:w="80"/>
              <w:right w:type="dxa" w:w="120"/>
            </w:tcMar>
          </w:tcPr>
          <w:p>
            <w:r>
              <w:rPr>
                <w:rFonts w:ascii="Calibri" w:cs="Calibri" w:eastAsia="Calibri" w:hAnsi="Calibri"/>
                <w:sz w:val="20"/>
                <w:szCs w:val="20"/>
              </w:rPr>
              <w:t xml:space="preserve">fraction</w:t>
            </w:r>
          </w:p>
        </w:tc>
      </w:tr>
      <w:tr>
        <w:tc>
          <w:tcPr>
            <w:tcW w:type="dxa" w:w="3000"/>
            <w:tcMar>
              <w:top w:type="dxa" w:w="80"/>
              <w:left w:type="dxa" w:w="120"/>
              <w:bottom w:type="dxa" w:w="80"/>
              <w:right w:type="dxa" w:w="120"/>
            </w:tcMar>
          </w:tcPr>
          <w:p>
            <w:r>
              <w:rPr>
                <w:rFonts w:ascii="Calibri" w:cs="Calibri" w:eastAsia="Calibri" w:hAnsi="Calibri"/>
                <w:sz w:val="20"/>
                <w:szCs w:val="20"/>
              </w:rPr>
              <w:t xml:space="preserve">Shape uncertainty</w:t>
            </w:r>
          </w:p>
        </w:tc>
        <w:tc>
          <w:tcPr>
            <w:tcW w:type="dxa" w:w="4200"/>
            <w:tcMar>
              <w:top w:type="dxa" w:w="80"/>
              <w:left w:type="dxa" w:w="120"/>
              <w:bottom w:type="dxa" w:w="80"/>
              <w:right w:type="dxa" w:w="120"/>
            </w:tcMar>
          </w:tcPr>
          <w:p>
            <w:r>
              <w:rPr>
                <w:rFonts w:ascii="Cambria Math" w:cs="Cambria Math" w:eastAsia="Cambria Math" w:hAnsi="Cambria Math"/>
                <w:sz w:val="20"/>
                <w:szCs w:val="20"/>
              </w:rPr>
              <w:t xml:space="preserve">U = (Vmax − Vmin)/V(mesh) × 100</w:t>
            </w:r>
          </w:p>
        </w:tc>
        <w:tc>
          <w:tcPr>
            <w:tcW w:type="dxa" w:w="2160"/>
            <w:tcMar>
              <w:top w:type="dxa" w:w="80"/>
              <w:left w:type="dxa" w:w="120"/>
              <w:bottom w:type="dxa" w:w="80"/>
              <w:right w:type="dxa" w:w="120"/>
            </w:tcMar>
          </w:tcPr>
          <w:p>
            <w:r>
              <w:rPr>
                <w:rFonts w:ascii="Calibri" w:cs="Calibri" w:eastAsia="Calibri" w:hAnsi="Calibri"/>
                <w:sz w:val="20"/>
                <w:szCs w:val="20"/>
              </w:rPr>
              <w:t xml:space="preserve">%</w:t>
            </w:r>
          </w:p>
        </w:tc>
      </w:tr>
      <w:tr>
        <w:tc>
          <w:tcPr>
            <w:tcW w:type="dxa" w:w="3000"/>
            <w:tcMar>
              <w:top w:type="dxa" w:w="80"/>
              <w:left w:type="dxa" w:w="120"/>
              <w:bottom w:type="dxa" w:w="80"/>
              <w:right w:type="dxa" w:w="120"/>
            </w:tcMar>
          </w:tcPr>
          <w:p>
            <w:r>
              <w:rPr>
                <w:rFonts w:ascii="Calibri" w:cs="Calibri" w:eastAsia="Calibri" w:hAnsi="Calibri"/>
                <w:sz w:val="20"/>
                <w:szCs w:val="20"/>
              </w:rPr>
              <w:t xml:space="preserve">Plausibility test</w:t>
            </w:r>
          </w:p>
        </w:tc>
        <w:tc>
          <w:tcPr>
            <w:tcW w:type="dxa" w:w="4200"/>
            <w:tcMar>
              <w:top w:type="dxa" w:w="80"/>
              <w:left w:type="dxa" w:w="120"/>
              <w:bottom w:type="dxa" w:w="80"/>
              <w:right w:type="dxa" w:w="120"/>
            </w:tcMar>
          </w:tcPr>
          <w:p>
            <w:r>
              <w:rPr>
                <w:rFonts w:ascii="Cambria Math" w:cs="Cambria Math" w:eastAsia="Cambria Math" w:hAnsi="Cambria Math"/>
                <w:sz w:val="20"/>
                <w:szCs w:val="20"/>
              </w:rPr>
              <w:t xml:space="preserve">ρ(bulk) ≤ ρ(grain)  must hold</w:t>
            </w:r>
          </w:p>
        </w:tc>
        <w:tc>
          <w:tcPr>
            <w:tcW w:type="dxa" w:w="2160"/>
            <w:tcMar>
              <w:top w:type="dxa" w:w="80"/>
              <w:left w:type="dxa" w:w="120"/>
              <w:bottom w:type="dxa" w:w="80"/>
              <w:right w:type="dxa" w:w="120"/>
            </w:tcMar>
          </w:tcPr>
          <w:p>
            <w:r>
              <w:rPr>
                <w:rFonts w:ascii="Calibri" w:cs="Calibri" w:eastAsia="Calibri" w:hAnsi="Calibri"/>
                <w:sz w:val="20"/>
                <w:szCs w:val="20"/>
              </w:rPr>
              <w:t xml:space="preserve">—</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i/>
          <w:iCs/>
          <w:color w:val="555555"/>
          <w:sz w:val="22"/>
          <w:szCs w:val="22"/>
        </w:rPr>
        <w:t xml:space="preserve">Every formula above is standard mathematics (vector algebra and the divergence theorem). The tool's contribution is applying them carefully to real shape models, verifying every result two independent ways, and using the plausibility inequality to audit the catalogue.</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2289e04906c0648c7d0f6f680da70248fdeea47.png"/><Relationship Id="rId8" Type="http://schemas.openxmlformats.org/officeDocument/2006/relationships/image" Target="media/cb13aa2ba74a878724dc49ed01e0c89ee00283b2.png"/><Relationship Id="rId9" Type="http://schemas.openxmlformats.org/officeDocument/2006/relationships/image" Target="media/86c5ab6e4c94a5a7e061d8bba1fe04bfd49ddfc1.png"/><Relationship Id="rId10" Type="http://schemas.openxmlformats.org/officeDocument/2006/relationships/image" Target="media/69edfdebb03644da9964dfb35e2488d1d2d82171.png"/><Relationship Id="rId11" Type="http://schemas.openxmlformats.org/officeDocument/2006/relationships/image" Target="media/c308dad5ab494fbaaa521323585ff46be986c414.png"/><Relationship Id="rId12" Type="http://schemas.openxmlformats.org/officeDocument/2006/relationships/image" Target="media/1543e2678379425515bb1881ee2f2f399227d75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2026-07-18T19:51:43.896Z</dcterms:created>
  <dcterms:modified xsi:type="dcterms:W3CDTF">2026-07-18T19:51:43.896Z</dcterms:modified>
</cp:coreProperties>
</file>

<file path=docProps/custom.xml><?xml version="1.0" encoding="utf-8"?>
<Properties xmlns="http://schemas.openxmlformats.org/officeDocument/2006/custom-properties" xmlns:vt="http://schemas.openxmlformats.org/officeDocument/2006/docPropsVTypes"/>
</file>